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8C7171" w:rsidTr="008C7171">
        <w:trPr>
          <w:trHeight w:val="360"/>
          <w:jc w:val="center"/>
        </w:trPr>
        <w:tc>
          <w:tcPr>
            <w:tcW w:w="9365" w:type="dxa"/>
            <w:hideMark/>
          </w:tcPr>
          <w:p w:rsidR="008C7171" w:rsidRDefault="00CF48A8" w:rsidP="00B114FF">
            <w:pPr>
              <w:suppressLineNumbers/>
              <w:spacing w:after="120"/>
              <w:ind w:left="319"/>
              <w:rPr>
                <w:b/>
                <w:bCs/>
              </w:rPr>
            </w:pPr>
            <w:r>
              <w:rPr>
                <w:rFonts w:hint="cs"/>
                <w:b/>
                <w:bCs/>
                <w:rtl/>
              </w:rPr>
              <w:t>לפני הרכב כבוד השופטים:</w:t>
            </w:r>
          </w:p>
          <w:p w:rsidR="008C7171" w:rsidRDefault="00CF48A8" w:rsidP="00B114FF">
            <w:pPr>
              <w:suppressLineNumbers/>
              <w:spacing w:after="120"/>
              <w:ind w:left="319"/>
              <w:rPr>
                <w:b/>
                <w:bCs/>
                <w:rtl/>
              </w:rPr>
            </w:pPr>
            <w:r>
              <w:rPr>
                <w:rFonts w:hint="cs"/>
                <w:b/>
                <w:bCs/>
                <w:rtl/>
              </w:rPr>
              <w:t>חננאל שרעבי [אב"ד]</w:t>
            </w:r>
          </w:p>
          <w:p w:rsidR="008C7171" w:rsidRDefault="00CF48A8" w:rsidP="00B114FF">
            <w:pPr>
              <w:suppressLineNumbers/>
              <w:spacing w:after="120"/>
              <w:ind w:left="319"/>
              <w:rPr>
                <w:b/>
                <w:bCs/>
                <w:rtl/>
              </w:rPr>
            </w:pPr>
            <w:r>
              <w:rPr>
                <w:rFonts w:hint="cs"/>
                <w:b/>
                <w:bCs/>
                <w:rtl/>
              </w:rPr>
              <w:t>אספרנצה אלון</w:t>
            </w:r>
          </w:p>
          <w:p w:rsidR="008C7171" w:rsidRDefault="00F05D77" w:rsidP="00B114FF">
            <w:pPr>
              <w:suppressLineNumbers/>
              <w:spacing w:after="120"/>
              <w:ind w:left="319"/>
              <w:rPr>
                <w:b/>
                <w:bCs/>
                <w:rtl/>
              </w:rPr>
            </w:pPr>
            <w:sdt>
              <w:sdtPr>
                <w:rPr>
                  <w:rFonts w:hint="cs"/>
                  <w:rtl/>
                </w:rPr>
                <w:alias w:val="165"/>
                <w:tag w:val="165"/>
                <w:id w:val="584732177"/>
                <w:text w:multiLine="1"/>
              </w:sdtPr>
              <w:sdtEndPr/>
              <w:sdtContent>
                <w:r w:rsidR="00CF48A8">
                  <w:rPr>
                    <w:rFonts w:hint="cs"/>
                    <w:b/>
                    <w:bCs/>
                    <w:rtl/>
                  </w:rPr>
                  <w:t>אריה נאמן</w:t>
                </w:r>
                <w:r w:rsidR="002D2B3B">
                  <w:rPr>
                    <w:b/>
                    <w:bCs/>
                    <w:rtl/>
                  </w:rPr>
                  <w:br/>
                </w:r>
              </w:sdtContent>
            </w:sdt>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C7171" w:rsidTr="008C7171">
        <w:tc>
          <w:tcPr>
            <w:tcW w:w="3246" w:type="dxa"/>
          </w:tcPr>
          <w:p w:rsidR="008C7171" w:rsidRDefault="00F05D77">
            <w:pPr>
              <w:suppressLineNumbers/>
              <w:rPr>
                <w:rFonts w:ascii="David" w:eastAsia="David" w:hAnsi="David"/>
                <w:b/>
                <w:bCs/>
              </w:rPr>
            </w:pPr>
          </w:p>
          <w:p w:rsidR="008C7171" w:rsidRDefault="00CF48A8">
            <w:pPr>
              <w:suppressLineNumbers/>
              <w:rPr>
                <w:rFonts w:ascii="David" w:eastAsia="David" w:hAnsi="David"/>
                <w:b/>
                <w:bCs/>
                <w:rtl/>
              </w:rPr>
            </w:pPr>
            <w:r>
              <w:rPr>
                <w:rFonts w:ascii="David" w:eastAsia="David" w:hAnsi="David" w:hint="cs"/>
                <w:b/>
                <w:bCs/>
                <w:rtl/>
              </w:rPr>
              <w:t>ה</w:t>
            </w:r>
            <w:sdt>
              <w:sdtPr>
                <w:rPr>
                  <w:b/>
                  <w:bCs/>
                  <w:rtl/>
                </w:rPr>
                <w:alias w:val="1264"/>
                <w:tag w:val="1264"/>
                <w:id w:val="748628538"/>
                <w:placeholder>
                  <w:docPart w:val="74308BF814464FAE9F792CB7BC71388F"/>
                </w:placeholder>
                <w:text w:multiLine="1"/>
              </w:sdtPr>
              <w:sdtEndPr/>
              <w:sdtContent>
                <w:r>
                  <w:rPr>
                    <w:rFonts w:ascii="David" w:eastAsia="David" w:hAnsi="David"/>
                    <w:b/>
                    <w:bCs/>
                    <w:rtl/>
                  </w:rPr>
                  <w:t>מערערים</w:t>
                </w:r>
              </w:sdtContent>
            </w:sdt>
          </w:p>
        </w:tc>
        <w:tc>
          <w:tcPr>
            <w:tcW w:w="5734" w:type="dxa"/>
          </w:tcPr>
          <w:p w:rsidR="008C7171" w:rsidRDefault="00F05D77">
            <w:pPr>
              <w:suppressLineNumbers/>
              <w:rPr>
                <w:rFonts w:ascii="David" w:eastAsia="David" w:hAnsi="David"/>
                <w:b/>
                <w:bCs/>
                <w:rtl/>
              </w:rPr>
            </w:pPr>
          </w:p>
          <w:p w:rsidR="008C7171" w:rsidRDefault="00F05D77" w:rsidP="003569BA">
            <w:pPr>
              <w:suppressLineNumbers/>
              <w:rPr>
                <w:rtl/>
              </w:rPr>
            </w:pPr>
            <w:sdt>
              <w:sdtPr>
                <w:rPr>
                  <w:b/>
                  <w:bCs/>
                  <w:rtl/>
                </w:rPr>
                <w:alias w:val="828"/>
                <w:tag w:val="828"/>
                <w:id w:val="1526603318"/>
                <w:placeholder>
                  <w:docPart w:val="A0D62ED226BE438E9738DA16960D135A"/>
                </w:placeholder>
                <w:text w:multiLine="1"/>
              </w:sdtPr>
              <w:sdtEndPr/>
              <w:sdtContent>
                <w:r w:rsidR="00CF48A8">
                  <w:rPr>
                    <w:rFonts w:ascii="David" w:eastAsia="David" w:hAnsi="David"/>
                    <w:b/>
                    <w:bCs/>
                  </w:rPr>
                  <w:t>.1</w:t>
                </w:r>
              </w:sdtContent>
            </w:sdt>
            <w:r w:rsidR="00CF48A8">
              <w:rPr>
                <w:rFonts w:hint="cs"/>
                <w:b/>
                <w:bCs/>
                <w:rtl/>
              </w:rPr>
              <w:t xml:space="preserve"> </w:t>
            </w:r>
            <w:r w:rsidR="003569BA">
              <w:rPr>
                <w:rFonts w:hint="cs"/>
                <w:b/>
                <w:bCs/>
                <w:rtl/>
              </w:rPr>
              <w:t>ר. מ</w:t>
            </w:r>
          </w:p>
          <w:p w:rsidR="008C7171" w:rsidRDefault="00F05D77" w:rsidP="003569BA">
            <w:pPr>
              <w:suppressLineNumbers/>
              <w:spacing w:line="360" w:lineRule="auto"/>
            </w:pPr>
            <w:sdt>
              <w:sdtPr>
                <w:rPr>
                  <w:b/>
                  <w:bCs/>
                  <w:rtl/>
                </w:rPr>
                <w:alias w:val="828"/>
                <w:tag w:val="828"/>
                <w:id w:val="-706029639"/>
                <w:placeholder>
                  <w:docPart w:val="A0D62ED226BE438E9738DA16960D135A"/>
                </w:placeholder>
                <w:text w:multiLine="1"/>
              </w:sdtPr>
              <w:sdtEndPr/>
              <w:sdtContent>
                <w:r w:rsidR="00CF48A8">
                  <w:rPr>
                    <w:rFonts w:ascii="David" w:eastAsia="David" w:hAnsi="David"/>
                    <w:b/>
                    <w:bCs/>
                  </w:rPr>
                  <w:t>.2</w:t>
                </w:r>
              </w:sdtContent>
            </w:sdt>
            <w:r w:rsidR="00CF48A8">
              <w:rPr>
                <w:rFonts w:hint="cs"/>
                <w:b/>
                <w:bCs/>
                <w:rtl/>
              </w:rPr>
              <w:t xml:space="preserve"> </w:t>
            </w:r>
            <w:r w:rsidR="003569BA">
              <w:rPr>
                <w:rFonts w:hint="cs"/>
                <w:b/>
                <w:bCs/>
                <w:rtl/>
              </w:rPr>
              <w:t>ס. מ</w:t>
            </w:r>
            <w:sdt>
              <w:sdtPr>
                <w:rPr>
                  <w:b/>
                  <w:bCs/>
                  <w:rtl/>
                </w:rPr>
                <w:alias w:val="2688"/>
                <w:tag w:val="2688"/>
                <w:id w:val="-863287627"/>
                <w:placeholder>
                  <w:docPart w:val="7879426DD5DF437F924939A9324F0250"/>
                </w:placeholder>
                <w:text w:multiLine="1"/>
              </w:sdtPr>
              <w:sdtEndPr/>
              <w:sdtContent>
                <w:r w:rsidR="00B114FF">
                  <w:rPr>
                    <w:b/>
                    <w:bCs/>
                    <w:rtl/>
                  </w:rPr>
                  <w:br/>
                </w:r>
                <w:r w:rsidR="00303431">
                  <w:rPr>
                    <w:rFonts w:hint="cs"/>
                    <w:b/>
                    <w:bCs/>
                    <w:rtl/>
                  </w:rPr>
                  <w:t>שניהם ע"י עו"ד ספא חמוד</w:t>
                </w:r>
              </w:sdtContent>
            </w:sdt>
          </w:p>
        </w:tc>
      </w:tr>
      <w:tr w:rsidR="008C7171" w:rsidTr="008C7171">
        <w:tc>
          <w:tcPr>
            <w:tcW w:w="8980" w:type="dxa"/>
            <w:gridSpan w:val="2"/>
          </w:tcPr>
          <w:p w:rsidR="008C7171" w:rsidRDefault="00F05D77">
            <w:pPr>
              <w:suppressLineNumbers/>
              <w:rPr>
                <w:rFonts w:ascii="David" w:eastAsia="David" w:hAnsi="David"/>
                <w:b/>
                <w:bCs/>
              </w:rPr>
            </w:pPr>
          </w:p>
          <w:p w:rsidR="008C7171" w:rsidRDefault="00CF48A8" w:rsidP="002D2B3B">
            <w:pPr>
              <w:suppressLineNumbers/>
              <w:spacing w:line="360" w:lineRule="auto"/>
              <w:jc w:val="center"/>
              <w:rPr>
                <w:rFonts w:ascii="David" w:eastAsia="David" w:hAnsi="David"/>
                <w:b/>
                <w:bCs/>
                <w:rtl/>
              </w:rPr>
            </w:pPr>
            <w:r>
              <w:rPr>
                <w:rFonts w:ascii="David" w:eastAsia="David" w:hAnsi="David" w:hint="cs"/>
                <w:b/>
                <w:bCs/>
                <w:rtl/>
              </w:rPr>
              <w:t>נגד</w:t>
            </w:r>
          </w:p>
          <w:p w:rsidR="008C7171" w:rsidRDefault="00F05D77">
            <w:pPr>
              <w:suppressLineNumbers/>
              <w:rPr>
                <w:rFonts w:ascii="David" w:eastAsia="David" w:hAnsi="David"/>
                <w:b/>
                <w:bCs/>
                <w:rtl/>
              </w:rPr>
            </w:pPr>
          </w:p>
        </w:tc>
      </w:tr>
      <w:tr w:rsidR="008C7171" w:rsidTr="008C7171">
        <w:trPr>
          <w:trHeight w:val="740"/>
        </w:trPr>
        <w:tc>
          <w:tcPr>
            <w:tcW w:w="3246" w:type="dxa"/>
            <w:hideMark/>
          </w:tcPr>
          <w:p w:rsidR="008C7171" w:rsidRDefault="00CF48A8">
            <w:pPr>
              <w:suppressLineNumbers/>
              <w:rPr>
                <w:rFonts w:ascii="David" w:eastAsia="David" w:hAnsi="David"/>
                <w:b/>
                <w:bCs/>
                <w:rtl/>
              </w:rPr>
            </w:pPr>
            <w:r>
              <w:rPr>
                <w:rFonts w:ascii="David" w:eastAsia="David" w:hAnsi="David" w:hint="cs"/>
                <w:b/>
                <w:bCs/>
                <w:rtl/>
              </w:rPr>
              <w:t>ה</w:t>
            </w:r>
            <w:sdt>
              <w:sdtPr>
                <w:rPr>
                  <w:b/>
                  <w:bCs/>
                  <w:rtl/>
                </w:rPr>
                <w:alias w:val="1265"/>
                <w:tag w:val="1265"/>
                <w:id w:val="15438151"/>
                <w:text/>
              </w:sdtPr>
              <w:sdtEndPr/>
              <w:sdtContent>
                <w:r>
                  <w:rPr>
                    <w:rFonts w:ascii="David" w:eastAsia="David" w:hAnsi="David"/>
                    <w:b/>
                    <w:bCs/>
                    <w:rtl/>
                  </w:rPr>
                  <w:t>משיב</w:t>
                </w:r>
              </w:sdtContent>
            </w:sdt>
          </w:p>
        </w:tc>
        <w:tc>
          <w:tcPr>
            <w:tcW w:w="5734" w:type="dxa"/>
            <w:hideMark/>
          </w:tcPr>
          <w:p w:rsidR="003569BA" w:rsidRDefault="003569BA" w:rsidP="003569BA">
            <w:pPr>
              <w:suppressLineNumbers/>
              <w:spacing w:line="360" w:lineRule="auto"/>
              <w:rPr>
                <w:rFonts w:ascii="David" w:eastAsia="David" w:hAnsi="David"/>
                <w:b/>
                <w:bCs/>
                <w:rtl/>
              </w:rPr>
            </w:pPr>
            <w:r>
              <w:rPr>
                <w:rFonts w:hint="cs"/>
                <w:b/>
                <w:bCs/>
                <w:rtl/>
              </w:rPr>
              <w:t>ע. מ</w:t>
            </w:r>
          </w:p>
          <w:p w:rsidR="008C7171" w:rsidRPr="002D2B3B" w:rsidRDefault="002D2B3B" w:rsidP="003569BA">
            <w:pPr>
              <w:suppressLineNumbers/>
              <w:spacing w:line="360" w:lineRule="auto"/>
              <w:rPr>
                <w:rFonts w:ascii="David" w:eastAsia="David" w:hAnsi="David"/>
                <w:b/>
                <w:bCs/>
                <w:rtl/>
              </w:rPr>
            </w:pPr>
            <w:r w:rsidRPr="002D2B3B">
              <w:rPr>
                <w:rFonts w:ascii="David" w:eastAsia="David" w:hAnsi="David" w:hint="cs"/>
                <w:b/>
                <w:bCs/>
                <w:rtl/>
              </w:rPr>
              <w:t>ע"י ב"כ עו"ד זכי כמאל</w:t>
            </w:r>
          </w:p>
        </w:tc>
      </w:tr>
    </w:tbl>
    <w:p w:rsidR="001434F7" w:rsidRDefault="00F05D77"/>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72"/>
      </w:tblGrid>
      <w:tr w:rsidR="00694556" w:rsidRPr="00DE1E7D" w:rsidTr="002D2B3B">
        <w:trPr>
          <w:jc w:val="center"/>
        </w:trPr>
        <w:tc>
          <w:tcPr>
            <w:tcW w:w="8820" w:type="dxa"/>
          </w:tcPr>
          <w:p w:rsidR="00694556" w:rsidRDefault="003E38C7" w:rsidP="002D2B3B">
            <w:pPr>
              <w:bidi w:val="0"/>
              <w:spacing w:line="360" w:lineRule="auto"/>
              <w:jc w:val="center"/>
              <w:rPr>
                <w:rFonts w:ascii="Arial" w:hAnsi="Arial"/>
                <w:b/>
                <w:bCs/>
                <w:noProof w:val="0"/>
                <w:sz w:val="28"/>
                <w:szCs w:val="28"/>
                <w:u w:val="single"/>
              </w:rPr>
            </w:pPr>
            <w:r>
              <w:rPr>
                <w:rFonts w:ascii="Arial" w:hAnsi="Arial" w:hint="cs"/>
                <w:b/>
                <w:bCs/>
                <w:noProof w:val="0"/>
                <w:sz w:val="28"/>
                <w:szCs w:val="28"/>
                <w:u w:val="single"/>
                <w:rtl/>
              </w:rPr>
              <w:t>פסק דין</w:t>
            </w:r>
          </w:p>
          <w:p w:rsidR="002D2B3B" w:rsidRDefault="002D2B3B" w:rsidP="002D2B3B">
            <w:pPr>
              <w:bidi w:val="0"/>
              <w:jc w:val="center"/>
              <w:rPr>
                <w:rFonts w:ascii="Arial" w:hAnsi="Arial"/>
                <w:b/>
                <w:bCs/>
                <w:noProof w:val="0"/>
                <w:sz w:val="28"/>
                <w:szCs w:val="28"/>
                <w:u w:val="single"/>
              </w:rPr>
            </w:pPr>
          </w:p>
          <w:p w:rsidR="002D2B3B" w:rsidRPr="00D44968" w:rsidRDefault="002D2B3B" w:rsidP="00CF48A8">
            <w:pPr>
              <w:bidi w:val="0"/>
              <w:spacing w:after="240"/>
              <w:ind w:left="8534" w:right="-499" w:hanging="8531"/>
              <w:jc w:val="right"/>
              <w:rPr>
                <w:rFonts w:ascii="Arial" w:hAnsi="Arial"/>
                <w:b/>
                <w:bCs/>
                <w:noProof w:val="0"/>
                <w:sz w:val="28"/>
                <w:szCs w:val="28"/>
                <w:u w:val="single"/>
                <w:rtl/>
              </w:rPr>
            </w:pPr>
            <w:r>
              <w:rPr>
                <w:rFonts w:ascii="Arial" w:hAnsi="Arial" w:hint="cs"/>
                <w:b/>
                <w:bCs/>
                <w:noProof w:val="0"/>
                <w:sz w:val="28"/>
                <w:szCs w:val="28"/>
                <w:u w:val="single"/>
                <w:rtl/>
              </w:rPr>
              <w:t>כב</w:t>
            </w:r>
            <w:r w:rsidRPr="002D2B3B">
              <w:rPr>
                <w:rFonts w:ascii="Arial" w:hAnsi="Arial" w:hint="cs"/>
                <w:b/>
                <w:bCs/>
                <w:noProof w:val="0"/>
                <w:u w:val="single"/>
                <w:rtl/>
              </w:rPr>
              <w:t>' השופטת אספרנצה אלון:</w:t>
            </w:r>
          </w:p>
        </w:tc>
      </w:tr>
    </w:tbl>
    <w:p w:rsidR="00B114FF" w:rsidRPr="00B114FF" w:rsidRDefault="00B114FF" w:rsidP="002D2B3B">
      <w:pPr>
        <w:pStyle w:val="ad"/>
        <w:numPr>
          <w:ilvl w:val="0"/>
          <w:numId w:val="1"/>
        </w:numPr>
        <w:spacing w:after="120" w:line="360" w:lineRule="auto"/>
        <w:ind w:left="0" w:hanging="567"/>
        <w:contextualSpacing w:val="0"/>
        <w:jc w:val="both"/>
        <w:rPr>
          <w:rFonts w:ascii="David" w:hAnsi="David"/>
        </w:rPr>
      </w:pPr>
      <w:bookmarkStart w:id="0" w:name="NGCSBookmark"/>
      <w:bookmarkEnd w:id="0"/>
      <w:r w:rsidRPr="00B114FF">
        <w:rPr>
          <w:rFonts w:ascii="David" w:hAnsi="David"/>
          <w:rtl/>
        </w:rPr>
        <w:t>לפני</w:t>
      </w:r>
      <w:r w:rsidRPr="00B114FF">
        <w:rPr>
          <w:rFonts w:ascii="David" w:hAnsi="David" w:hint="cs"/>
          <w:rtl/>
        </w:rPr>
        <w:t>י</w:t>
      </w:r>
      <w:bookmarkStart w:id="1" w:name="ABSTRACT_START"/>
      <w:bookmarkEnd w:id="1"/>
      <w:r w:rsidRPr="00B114FF">
        <w:rPr>
          <w:rFonts w:ascii="David" w:hAnsi="David" w:hint="cs"/>
          <w:rtl/>
        </w:rPr>
        <w:t xml:space="preserve"> </w:t>
      </w:r>
      <w:r w:rsidRPr="00B114FF">
        <w:rPr>
          <w:rFonts w:ascii="David" w:hAnsi="David"/>
          <w:rtl/>
        </w:rPr>
        <w:t xml:space="preserve">ערעור על פסק דינו של בית המשפט לענייני משפחה בקריות (כב' השופט ניר זיתוני), </w:t>
      </w:r>
      <w:r w:rsidRPr="00B114FF">
        <w:rPr>
          <w:rFonts w:ascii="David" w:hAnsi="David" w:hint="cs"/>
          <w:rtl/>
        </w:rPr>
        <w:t>שניתן ב</w:t>
      </w:r>
      <w:r w:rsidRPr="00B114FF">
        <w:rPr>
          <w:rFonts w:ascii="David" w:hAnsi="David"/>
          <w:rtl/>
        </w:rPr>
        <w:t xml:space="preserve">יום </w:t>
      </w:r>
      <w:r w:rsidRPr="00B114FF">
        <w:rPr>
          <w:rFonts w:ascii="David" w:hAnsi="David" w:hint="cs"/>
          <w:rtl/>
        </w:rPr>
        <w:t>04</w:t>
      </w:r>
      <w:r w:rsidRPr="00B114FF">
        <w:rPr>
          <w:rFonts w:ascii="David" w:hAnsi="David"/>
          <w:rtl/>
        </w:rPr>
        <w:t>.</w:t>
      </w:r>
      <w:r w:rsidRPr="00B114FF">
        <w:rPr>
          <w:rFonts w:ascii="David" w:hAnsi="David" w:hint="cs"/>
          <w:rtl/>
        </w:rPr>
        <w:t>02</w:t>
      </w:r>
      <w:r w:rsidRPr="00B114FF">
        <w:rPr>
          <w:rFonts w:ascii="David" w:hAnsi="David"/>
          <w:rtl/>
        </w:rPr>
        <w:t>.</w:t>
      </w:r>
      <w:r w:rsidRPr="00B114FF">
        <w:rPr>
          <w:rFonts w:ascii="David" w:hAnsi="David" w:hint="cs"/>
          <w:rtl/>
        </w:rPr>
        <w:t>2024 במאוחד בתמ"ש 5875-07-22 (</w:t>
      </w:r>
      <w:r w:rsidRPr="00B114FF">
        <w:rPr>
          <w:rFonts w:ascii="Arial" w:hAnsi="Arial" w:hint="cs"/>
          <w:noProof w:val="0"/>
          <w:rtl/>
        </w:rPr>
        <w:t>תובענה לסילוק יד שהגיש המשיב, אביו של המערער, נגד בנו וכלתו</w:t>
      </w:r>
      <w:r w:rsidRPr="00B114FF">
        <w:rPr>
          <w:rFonts w:ascii="David" w:hAnsi="David" w:hint="cs"/>
          <w:rtl/>
        </w:rPr>
        <w:t>) ותמ"ש 33106-09-22 (</w:t>
      </w:r>
      <w:r w:rsidRPr="00B114FF">
        <w:rPr>
          <w:rFonts w:ascii="Arial" w:hAnsi="Arial" w:hint="cs"/>
          <w:noProof w:val="0"/>
          <w:rtl/>
        </w:rPr>
        <w:t>תובענה למתן פסק הדין הצהרתי וצו מניעה שהגישו המערערים כנגד המשיב)</w:t>
      </w:r>
      <w:r w:rsidRPr="00B114FF">
        <w:rPr>
          <w:rFonts w:ascii="David" w:hAnsi="David" w:hint="cs"/>
          <w:rtl/>
        </w:rPr>
        <w:t xml:space="preserve"> </w:t>
      </w:r>
      <w:r w:rsidRPr="00B114FF">
        <w:rPr>
          <w:rFonts w:ascii="David" w:hAnsi="David"/>
          <w:rtl/>
        </w:rPr>
        <w:t>(להלן: "</w:t>
      </w:r>
      <w:r w:rsidRPr="00B114FF">
        <w:rPr>
          <w:rFonts w:ascii="David" w:hAnsi="David"/>
          <w:b/>
          <w:bCs/>
          <w:rtl/>
        </w:rPr>
        <w:t>בית משפט קמא</w:t>
      </w:r>
      <w:r w:rsidRPr="00B114FF">
        <w:rPr>
          <w:rFonts w:ascii="David" w:hAnsi="David"/>
          <w:rtl/>
        </w:rPr>
        <w:t>")</w:t>
      </w:r>
      <w:r w:rsidRPr="00B114FF">
        <w:rPr>
          <w:rFonts w:ascii="David" w:hAnsi="David" w:hint="cs"/>
          <w:rtl/>
        </w:rPr>
        <w:t xml:space="preserve">, בגדרו דחה בית משפט קמא את תביעת המערערים למתן פסק דין הצהרתי כי הם זכאים להירשם כבעלים של בית מגורים או שליש מהמקרקעין (בשטח של 667 מ"ר) הרשומים על שם המשיב, והורה על פינוי וסילוק ידם של המערערים מהבית </w:t>
      </w:r>
      <w:r w:rsidRPr="00B114FF">
        <w:rPr>
          <w:rFonts w:ascii="Arial" w:hAnsi="Arial"/>
          <w:noProof w:val="0"/>
          <w:rtl/>
        </w:rPr>
        <w:t xml:space="preserve">תוך שנה </w:t>
      </w:r>
      <w:r w:rsidRPr="00B114FF">
        <w:rPr>
          <w:rFonts w:ascii="Arial" w:hAnsi="Arial" w:hint="cs"/>
          <w:noProof w:val="0"/>
          <w:rtl/>
        </w:rPr>
        <w:t xml:space="preserve">מיום פסק הדין קמא היינו לא יאוחר </w:t>
      </w:r>
      <w:r w:rsidRPr="00B114FF">
        <w:rPr>
          <w:rFonts w:ascii="Arial" w:hAnsi="Arial"/>
          <w:noProof w:val="0"/>
          <w:rtl/>
        </w:rPr>
        <w:t xml:space="preserve">מיום </w:t>
      </w:r>
      <w:r w:rsidRPr="00B114FF">
        <w:rPr>
          <w:rFonts w:ascii="Arial" w:hAnsi="Arial" w:hint="cs"/>
          <w:noProof w:val="0"/>
          <w:rtl/>
        </w:rPr>
        <w:t>0</w:t>
      </w:r>
      <w:r w:rsidRPr="00B114FF">
        <w:rPr>
          <w:rFonts w:ascii="Arial" w:hAnsi="Arial"/>
          <w:noProof w:val="0"/>
          <w:rtl/>
        </w:rPr>
        <w:t>4.</w:t>
      </w:r>
      <w:r w:rsidRPr="00B114FF">
        <w:rPr>
          <w:rFonts w:ascii="Arial" w:hAnsi="Arial" w:hint="cs"/>
          <w:noProof w:val="0"/>
          <w:rtl/>
        </w:rPr>
        <w:t>0</w:t>
      </w:r>
      <w:r w:rsidRPr="00B114FF">
        <w:rPr>
          <w:rFonts w:ascii="Arial" w:hAnsi="Arial"/>
          <w:noProof w:val="0"/>
          <w:rtl/>
        </w:rPr>
        <w:t>2.</w:t>
      </w:r>
      <w:r w:rsidRPr="00B114FF">
        <w:rPr>
          <w:rFonts w:ascii="Arial" w:hAnsi="Arial" w:hint="cs"/>
          <w:noProof w:val="0"/>
          <w:rtl/>
        </w:rPr>
        <w:t>20</w:t>
      </w:r>
      <w:r w:rsidRPr="00B114FF">
        <w:rPr>
          <w:rFonts w:ascii="Arial" w:hAnsi="Arial"/>
          <w:noProof w:val="0"/>
          <w:rtl/>
        </w:rPr>
        <w:t>25</w:t>
      </w:r>
      <w:r w:rsidRPr="00B114FF">
        <w:rPr>
          <w:rFonts w:ascii="David" w:hAnsi="David" w:hint="cs"/>
          <w:rtl/>
        </w:rPr>
        <w:t xml:space="preserve"> (להלן: </w:t>
      </w:r>
      <w:r w:rsidRPr="00B114FF">
        <w:rPr>
          <w:rFonts w:ascii="David" w:hAnsi="David" w:hint="cs"/>
          <w:b/>
          <w:bCs/>
          <w:rtl/>
        </w:rPr>
        <w:t>"פסק הדין קמא"</w:t>
      </w:r>
      <w:r w:rsidRPr="00B114FF">
        <w:rPr>
          <w:rFonts w:ascii="David" w:hAnsi="David" w:hint="cs"/>
          <w:rtl/>
        </w:rPr>
        <w:t xml:space="preserve">). </w:t>
      </w:r>
    </w:p>
    <w:p w:rsidR="00B114FF" w:rsidRPr="00DD7A9F" w:rsidRDefault="00B114FF" w:rsidP="009E7844">
      <w:pPr>
        <w:pStyle w:val="ad"/>
        <w:numPr>
          <w:ilvl w:val="0"/>
          <w:numId w:val="1"/>
        </w:numPr>
        <w:spacing w:after="120" w:line="360" w:lineRule="auto"/>
        <w:ind w:left="0" w:hanging="567"/>
        <w:contextualSpacing w:val="0"/>
        <w:jc w:val="both"/>
        <w:rPr>
          <w:rFonts w:ascii="David" w:hAnsi="David"/>
          <w:rtl/>
        </w:rPr>
      </w:pPr>
      <w:r w:rsidRPr="00DD7A9F">
        <w:rPr>
          <w:rFonts w:ascii="David" w:hAnsi="David" w:hint="cs"/>
          <w:rtl/>
        </w:rPr>
        <w:t xml:space="preserve">בתמצית נציין כי המערערים הם בעל ואשה אשר נישאו זה לזה בשנת 2008, והמשיב הינו אביו של המערער. המשיב הוא הבעלים הרשום של מקרקעין הידועים כחלקה </w:t>
      </w:r>
      <w:r w:rsidR="009E7844">
        <w:rPr>
          <w:rFonts w:ascii="David" w:hAnsi="David" w:hint="cs"/>
          <w:rtl/>
        </w:rPr>
        <w:t>00</w:t>
      </w:r>
      <w:r w:rsidRPr="00DD7A9F">
        <w:rPr>
          <w:rFonts w:ascii="David" w:hAnsi="David" w:hint="cs"/>
          <w:rtl/>
        </w:rPr>
        <w:t xml:space="preserve"> בגוש </w:t>
      </w:r>
      <w:r w:rsidR="009E7844">
        <w:rPr>
          <w:rFonts w:ascii="David" w:hAnsi="David" w:hint="cs"/>
          <w:rtl/>
        </w:rPr>
        <w:t>00000</w:t>
      </w:r>
      <w:r w:rsidRPr="00DD7A9F">
        <w:rPr>
          <w:rFonts w:ascii="David" w:hAnsi="David" w:hint="cs"/>
          <w:rtl/>
        </w:rPr>
        <w:t>, ועליהם ניבנו 3 בתים. בבית 1 מתגורר המשיב, בבית 2 מתגוררים המערערים מאז נישואיהם, ובבית 3 מתגורר אח נוסף,</w:t>
      </w:r>
      <w:r w:rsidRPr="00DD7A9F">
        <w:rPr>
          <w:rFonts w:ascii="David" w:hAnsi="David"/>
          <w:rtl/>
        </w:rPr>
        <w:t xml:space="preserve"> </w:t>
      </w:r>
      <w:r w:rsidRPr="00DD7A9F">
        <w:rPr>
          <w:rFonts w:ascii="David" w:hAnsi="David" w:hint="eastAsia"/>
          <w:rtl/>
        </w:rPr>
        <w:t>נגדו</w:t>
      </w:r>
      <w:r w:rsidRPr="00DD7A9F">
        <w:rPr>
          <w:rFonts w:ascii="David" w:hAnsi="David"/>
          <w:rtl/>
        </w:rPr>
        <w:t xml:space="preserve"> </w:t>
      </w:r>
      <w:r w:rsidRPr="00DD7A9F">
        <w:rPr>
          <w:rFonts w:ascii="David" w:hAnsi="David" w:hint="eastAsia"/>
          <w:rtl/>
        </w:rPr>
        <w:t>עדיין</w:t>
      </w:r>
      <w:r w:rsidRPr="00DD7A9F">
        <w:rPr>
          <w:rFonts w:ascii="David" w:hAnsi="David"/>
          <w:rtl/>
        </w:rPr>
        <w:t xml:space="preserve"> </w:t>
      </w:r>
      <w:r w:rsidRPr="00DD7A9F">
        <w:rPr>
          <w:rFonts w:ascii="David" w:hAnsi="David" w:hint="eastAsia"/>
          <w:rtl/>
        </w:rPr>
        <w:t>מתבררת</w:t>
      </w:r>
      <w:r w:rsidRPr="00DD7A9F">
        <w:rPr>
          <w:rFonts w:ascii="David" w:hAnsi="David"/>
          <w:rtl/>
        </w:rPr>
        <w:t xml:space="preserve"> </w:t>
      </w:r>
      <w:r w:rsidRPr="00DD7A9F">
        <w:rPr>
          <w:rFonts w:ascii="David" w:hAnsi="David" w:hint="eastAsia"/>
          <w:rtl/>
        </w:rPr>
        <w:t>תביעת</w:t>
      </w:r>
      <w:r w:rsidRPr="00DD7A9F">
        <w:rPr>
          <w:rFonts w:ascii="David" w:hAnsi="David"/>
          <w:rtl/>
        </w:rPr>
        <w:t xml:space="preserve"> </w:t>
      </w:r>
      <w:r w:rsidRPr="00DD7A9F">
        <w:rPr>
          <w:rFonts w:ascii="David" w:hAnsi="David" w:hint="eastAsia"/>
          <w:rtl/>
        </w:rPr>
        <w:t>פינוי</w:t>
      </w:r>
      <w:r w:rsidRPr="00DD7A9F">
        <w:rPr>
          <w:rFonts w:ascii="David" w:hAnsi="David"/>
          <w:rtl/>
        </w:rPr>
        <w:t xml:space="preserve"> </w:t>
      </w:r>
      <w:r w:rsidRPr="00DD7A9F">
        <w:rPr>
          <w:rFonts w:ascii="David" w:hAnsi="David" w:hint="eastAsia"/>
          <w:rtl/>
        </w:rPr>
        <w:t>שהגיש</w:t>
      </w:r>
      <w:r w:rsidRPr="00DD7A9F">
        <w:rPr>
          <w:rFonts w:ascii="David" w:hAnsi="David"/>
          <w:rtl/>
        </w:rPr>
        <w:t xml:space="preserve"> </w:t>
      </w:r>
      <w:r w:rsidRPr="00DD7A9F">
        <w:rPr>
          <w:rFonts w:ascii="David" w:hAnsi="David" w:hint="eastAsia"/>
          <w:rtl/>
        </w:rPr>
        <w:t>המשיב</w:t>
      </w:r>
      <w:r w:rsidRPr="00DD7A9F">
        <w:rPr>
          <w:rFonts w:ascii="David" w:hAnsi="David"/>
          <w:rtl/>
        </w:rPr>
        <w:t xml:space="preserve"> (להלן: "</w:t>
      </w:r>
      <w:r w:rsidRPr="00DD7A9F">
        <w:rPr>
          <w:rFonts w:ascii="David" w:hAnsi="David" w:hint="eastAsia"/>
          <w:b/>
          <w:bCs/>
          <w:rtl/>
        </w:rPr>
        <w:t>הבית</w:t>
      </w:r>
      <w:r w:rsidRPr="00DD7A9F">
        <w:rPr>
          <w:rFonts w:ascii="David" w:hAnsi="David"/>
          <w:rtl/>
        </w:rPr>
        <w:t xml:space="preserve">" ו/או </w:t>
      </w:r>
      <w:r w:rsidRPr="00DD7A9F">
        <w:rPr>
          <w:rFonts w:ascii="David" w:hAnsi="David"/>
          <w:b/>
          <w:bCs/>
          <w:rtl/>
        </w:rPr>
        <w:t>"המקרקעין"</w:t>
      </w:r>
      <w:r w:rsidRPr="00DD7A9F">
        <w:rPr>
          <w:rFonts w:ascii="David" w:hAnsi="David"/>
          <w:rtl/>
        </w:rPr>
        <w:t xml:space="preserve"> בהתאמה). </w:t>
      </w:r>
    </w:p>
    <w:p w:rsidR="00B114FF" w:rsidRPr="00DD7A9F" w:rsidRDefault="00B114FF" w:rsidP="00982F3A">
      <w:pPr>
        <w:pStyle w:val="ad"/>
        <w:numPr>
          <w:ilvl w:val="0"/>
          <w:numId w:val="1"/>
        </w:numPr>
        <w:spacing w:after="120" w:line="360" w:lineRule="auto"/>
        <w:ind w:left="0" w:hanging="567"/>
        <w:contextualSpacing w:val="0"/>
        <w:jc w:val="both"/>
        <w:rPr>
          <w:rFonts w:ascii="David" w:hAnsi="David"/>
          <w:rtl/>
        </w:rPr>
      </w:pPr>
      <w:r w:rsidRPr="00DD7A9F">
        <w:rPr>
          <w:rFonts w:ascii="David" w:hAnsi="David" w:hint="cs"/>
          <w:u w:val="single"/>
          <w:rtl/>
        </w:rPr>
        <w:t>בית משפט קמא העמיד את השאלות שבמחלוקת כדלקמן</w:t>
      </w:r>
      <w:r w:rsidRPr="00DD7A9F">
        <w:rPr>
          <w:rFonts w:ascii="David" w:hAnsi="David" w:hint="cs"/>
          <w:rtl/>
        </w:rPr>
        <w:t xml:space="preserve">: </w:t>
      </w:r>
    </w:p>
    <w:p w:rsidR="00B114FF" w:rsidRPr="000D1891" w:rsidRDefault="00DD7A9F" w:rsidP="005925F3">
      <w:pPr>
        <w:spacing w:after="120" w:line="360" w:lineRule="auto"/>
        <w:ind w:left="850" w:right="1134" w:hanging="567"/>
        <w:jc w:val="both"/>
        <w:rPr>
          <w:rFonts w:ascii="David" w:hAnsi="David"/>
          <w:b/>
          <w:bCs/>
          <w:color w:val="000000" w:themeColor="text1"/>
        </w:rPr>
      </w:pPr>
      <w:r>
        <w:rPr>
          <w:rFonts w:ascii="David" w:hAnsi="David"/>
          <w:b/>
          <w:bCs/>
          <w:color w:val="000000" w:themeColor="text1"/>
          <w:rtl/>
        </w:rPr>
        <w:tab/>
      </w:r>
      <w:r w:rsidR="00B114FF" w:rsidRPr="000D1891">
        <w:rPr>
          <w:rFonts w:ascii="David" w:hAnsi="David"/>
          <w:b/>
          <w:bCs/>
          <w:color w:val="000000" w:themeColor="text1"/>
          <w:rtl/>
        </w:rPr>
        <w:t>"33.</w:t>
      </w:r>
      <w:r w:rsidR="00B114FF">
        <w:rPr>
          <w:rFonts w:ascii="David" w:hAnsi="David" w:hint="cs"/>
          <w:b/>
          <w:bCs/>
          <w:color w:val="000000" w:themeColor="text1"/>
          <w:rtl/>
        </w:rPr>
        <w:t xml:space="preserve"> </w:t>
      </w:r>
      <w:r w:rsidR="00B114FF" w:rsidRPr="000D1891">
        <w:rPr>
          <w:rFonts w:ascii="David" w:hAnsi="David"/>
          <w:b/>
          <w:bCs/>
          <w:color w:val="000000" w:themeColor="text1"/>
          <w:rtl/>
        </w:rPr>
        <w:t xml:space="preserve">לאחר שעמדתי לעיל על נטל ההוכחה ונטל הבאת הראיות, כעת, יש לבחון אם במקרה דנן עלה בידי הנתבעים להרים את נטל ההוכחה המוטל עליהם בהוכחת טענות ההגנה? מכאן, יש לבחון האם עלה בידי הנתבעים להוכיח כי בינם לבין התובע  נכרתה עסקה  שבמסגרתה הבית הועבר לנתבעים ? האם עלה בידי </w:t>
      </w:r>
      <w:r w:rsidR="00B114FF" w:rsidRPr="000D1891">
        <w:rPr>
          <w:rFonts w:ascii="David" w:hAnsi="David"/>
          <w:b/>
          <w:bCs/>
          <w:color w:val="000000" w:themeColor="text1"/>
          <w:rtl/>
        </w:rPr>
        <w:lastRenderedPageBreak/>
        <w:t xml:space="preserve">הנתבעים להוכיח כי הייתה הבטחה או התחייבות של התובע כלפי הנתבע להעביר לו את זכויות הבעלות בבית? האם עלה בידי הנתבעים להוכיח כי הם הזכאים להירשם כבעלים של הבית ו/או המקרקעין בשטח של 667 מ"ר באופן המצדיק להורות על שינוי / תיקון הרישום?  במסגרת פסק הדין אדרש לשאלות אלו.  כאן המקום </w:t>
      </w:r>
      <w:r w:rsidR="00B114FF" w:rsidRPr="000D1891">
        <w:rPr>
          <w:rFonts w:ascii="David" w:hAnsi="David"/>
          <w:b/>
          <w:bCs/>
          <w:color w:val="000000" w:themeColor="text1"/>
          <w:u w:val="single"/>
          <w:rtl/>
        </w:rPr>
        <w:t>להדגיש כי על פי נסח טאבו שצירף התובע להודעתו מיום 29.9.2023 עולה כי הוא הבעלים הרשום בשטח של 2,494 מ"ר במקרקעין".</w:t>
      </w:r>
      <w:r w:rsidR="00B114FF" w:rsidRPr="000D1891">
        <w:rPr>
          <w:rFonts w:ascii="David" w:hAnsi="David"/>
          <w:b/>
          <w:bCs/>
          <w:color w:val="000000" w:themeColor="text1"/>
          <w:rtl/>
        </w:rPr>
        <w:t xml:space="preserve">  (</w:t>
      </w:r>
      <w:r w:rsidR="00B114FF" w:rsidRPr="000D1891">
        <w:rPr>
          <w:rFonts w:ascii="David" w:hAnsi="David" w:hint="eastAsia"/>
          <w:color w:val="000000" w:themeColor="text1"/>
          <w:rtl/>
        </w:rPr>
        <w:t>ההדגשות</w:t>
      </w:r>
      <w:r w:rsidR="00B114FF" w:rsidRPr="000D1891">
        <w:rPr>
          <w:rFonts w:ascii="David" w:hAnsi="David"/>
          <w:color w:val="000000" w:themeColor="text1"/>
          <w:rtl/>
        </w:rPr>
        <w:t xml:space="preserve"> </w:t>
      </w:r>
      <w:r w:rsidR="00B114FF" w:rsidRPr="000D1891">
        <w:rPr>
          <w:rFonts w:ascii="David" w:hAnsi="David" w:hint="eastAsia"/>
          <w:color w:val="000000" w:themeColor="text1"/>
          <w:rtl/>
        </w:rPr>
        <w:t>הינן</w:t>
      </w:r>
      <w:r w:rsidR="00B114FF" w:rsidRPr="000D1891">
        <w:rPr>
          <w:rFonts w:ascii="David" w:hAnsi="David"/>
          <w:color w:val="000000" w:themeColor="text1"/>
          <w:rtl/>
        </w:rPr>
        <w:t xml:space="preserve"> </w:t>
      </w:r>
      <w:r w:rsidR="00B114FF" w:rsidRPr="000D1891">
        <w:rPr>
          <w:rFonts w:ascii="David" w:hAnsi="David" w:hint="eastAsia"/>
          <w:color w:val="000000" w:themeColor="text1"/>
          <w:rtl/>
        </w:rPr>
        <w:t>במקור</w:t>
      </w:r>
      <w:r w:rsidR="00B114FF" w:rsidRPr="000D1891">
        <w:rPr>
          <w:rFonts w:ascii="David" w:hAnsi="David"/>
          <w:color w:val="000000" w:themeColor="text1"/>
          <w:rtl/>
        </w:rPr>
        <w:t>-א.א</w:t>
      </w:r>
      <w:r w:rsidR="00B114FF" w:rsidRPr="000D1891">
        <w:rPr>
          <w:rFonts w:ascii="David" w:hAnsi="David"/>
          <w:b/>
          <w:bCs/>
          <w:color w:val="000000" w:themeColor="text1"/>
          <w:rtl/>
        </w:rPr>
        <w:t>)</w:t>
      </w:r>
    </w:p>
    <w:p w:rsidR="00B114FF" w:rsidRPr="00DD7A9F" w:rsidRDefault="00B114FF" w:rsidP="003613E6">
      <w:pPr>
        <w:pStyle w:val="ad"/>
        <w:numPr>
          <w:ilvl w:val="0"/>
          <w:numId w:val="1"/>
        </w:numPr>
        <w:spacing w:after="120" w:line="360" w:lineRule="auto"/>
        <w:ind w:left="0" w:hanging="567"/>
        <w:contextualSpacing w:val="0"/>
        <w:jc w:val="both"/>
        <w:rPr>
          <w:rFonts w:ascii="Arial" w:hAnsi="Arial"/>
          <w:b/>
          <w:bCs/>
          <w:noProof w:val="0"/>
          <w:color w:val="000000" w:themeColor="text1"/>
        </w:rPr>
      </w:pPr>
      <w:r w:rsidRPr="00DD7A9F">
        <w:rPr>
          <w:rFonts w:ascii="David" w:hAnsi="David" w:hint="cs"/>
          <w:u w:val="single"/>
          <w:rtl/>
        </w:rPr>
        <w:t>בית משפט קמא קבע כי המערערים לא הצליחו להרים את נטל ההוכחה המוטל עליהם, וכך קבע</w:t>
      </w:r>
      <w:r w:rsidRPr="00DD7A9F">
        <w:rPr>
          <w:rFonts w:ascii="David" w:hAnsi="David" w:hint="cs"/>
          <w:rtl/>
        </w:rPr>
        <w:t xml:space="preserve">: </w:t>
      </w:r>
    </w:p>
    <w:p w:rsidR="00B114FF" w:rsidRPr="000D1891" w:rsidRDefault="00DD7A9F" w:rsidP="005925F3">
      <w:pPr>
        <w:spacing w:after="120" w:line="360" w:lineRule="auto"/>
        <w:ind w:left="850" w:right="1134" w:hanging="567"/>
        <w:jc w:val="both"/>
        <w:rPr>
          <w:rFonts w:ascii="David" w:hAnsi="David"/>
          <w:b/>
          <w:bCs/>
          <w:color w:val="000000" w:themeColor="text1"/>
        </w:rPr>
      </w:pPr>
      <w:r>
        <w:rPr>
          <w:rFonts w:ascii="David" w:hAnsi="David"/>
          <w:b/>
          <w:bCs/>
          <w:color w:val="000000" w:themeColor="text1"/>
          <w:rtl/>
        </w:rPr>
        <w:tab/>
      </w:r>
      <w:r w:rsidR="00B114FF" w:rsidRPr="000D1891">
        <w:rPr>
          <w:rFonts w:ascii="David" w:hAnsi="David"/>
          <w:b/>
          <w:bCs/>
          <w:color w:val="000000" w:themeColor="text1"/>
          <w:rtl/>
        </w:rPr>
        <w:t>"35.</w:t>
      </w:r>
      <w:r w:rsidR="00B114FF">
        <w:rPr>
          <w:rFonts w:ascii="David" w:hAnsi="David" w:hint="cs"/>
          <w:b/>
          <w:bCs/>
          <w:color w:val="000000" w:themeColor="text1"/>
          <w:rtl/>
        </w:rPr>
        <w:t xml:space="preserve"> </w:t>
      </w:r>
      <w:r w:rsidR="00B114FF" w:rsidRPr="000D1891">
        <w:rPr>
          <w:rFonts w:ascii="David" w:hAnsi="David"/>
          <w:b/>
          <w:bCs/>
          <w:color w:val="000000" w:themeColor="text1"/>
          <w:rtl/>
        </w:rPr>
        <w:t xml:space="preserve">בנסיבות המקרה דנן, לאחר שבחנתי ושקלתי טענות הצדדים, לאחר שעיינתי בחומר הראיות שהונח בפני ועל יסוד התשתית העובדתית והראייתית שהונחה בפני ובהתאם להלכה הפסוקה, לא שוכנעתי כי עלה בידי הנתבעים להרים את נטל ההוכחה המוטל עליהם בכל הנוגע להוכחת טענותיהם לפיהן, הם הזכאים להירשם כבעלים של הבית או ב1/3 מהמקרקעין  ואף לא שוכנעתי כי בינם לבין התובע הייתה עסקה שבמסגרתה הנתבעים קיבלו את הזכויות . מכאן, לא שוכנעתי כי עלה בידי הנתבע לעמוד בנטל ההוכחה הכבד לסתור חזקת הרישום במקרקעין". </w:t>
      </w:r>
    </w:p>
    <w:p w:rsidR="00B114FF" w:rsidRPr="00DD7A9F" w:rsidRDefault="00B114FF" w:rsidP="00F551EF">
      <w:pPr>
        <w:pStyle w:val="ad"/>
        <w:numPr>
          <w:ilvl w:val="0"/>
          <w:numId w:val="1"/>
        </w:numPr>
        <w:spacing w:after="120" w:line="360" w:lineRule="auto"/>
        <w:ind w:left="0" w:hanging="567"/>
        <w:contextualSpacing w:val="0"/>
        <w:jc w:val="both"/>
        <w:rPr>
          <w:rFonts w:ascii="Arial" w:hAnsi="Arial"/>
          <w:b/>
          <w:bCs/>
          <w:noProof w:val="0"/>
          <w:color w:val="000000" w:themeColor="text1"/>
          <w:rtl/>
        </w:rPr>
      </w:pPr>
      <w:r w:rsidRPr="00DD7A9F">
        <w:rPr>
          <w:rFonts w:ascii="Arial" w:hAnsi="Arial" w:hint="eastAsia"/>
          <w:color w:val="000000" w:themeColor="text1"/>
          <w:rtl/>
        </w:rPr>
        <w:t>בית</w:t>
      </w:r>
      <w:r w:rsidRPr="00DD7A9F">
        <w:rPr>
          <w:rFonts w:ascii="Arial" w:hAnsi="Arial"/>
          <w:color w:val="000000" w:themeColor="text1"/>
          <w:rtl/>
        </w:rPr>
        <w:t xml:space="preserve"> משפט קמא </w:t>
      </w:r>
      <w:r w:rsidRPr="00DD7A9F">
        <w:rPr>
          <w:rFonts w:ascii="Arial" w:hAnsi="Arial" w:hint="eastAsia"/>
          <w:color w:val="000000" w:themeColor="text1"/>
          <w:rtl/>
        </w:rPr>
        <w:t>כאמור</w:t>
      </w:r>
      <w:r w:rsidRPr="00DD7A9F">
        <w:rPr>
          <w:rFonts w:ascii="Arial" w:hAnsi="Arial"/>
          <w:color w:val="000000" w:themeColor="text1"/>
          <w:rtl/>
        </w:rPr>
        <w:t xml:space="preserve"> </w:t>
      </w:r>
      <w:r w:rsidRPr="00DD7A9F">
        <w:rPr>
          <w:rFonts w:ascii="Arial" w:hAnsi="Arial" w:hint="eastAsia"/>
          <w:color w:val="000000" w:themeColor="text1"/>
          <w:rtl/>
        </w:rPr>
        <w:t>דחה</w:t>
      </w:r>
      <w:r w:rsidRPr="00DD7A9F">
        <w:rPr>
          <w:rFonts w:ascii="Arial" w:hAnsi="Arial"/>
          <w:color w:val="000000" w:themeColor="text1"/>
          <w:rtl/>
        </w:rPr>
        <w:t xml:space="preserve"> את תביעת המערערים למתן פסק דין הצהרתי, </w:t>
      </w:r>
      <w:r w:rsidRPr="00DD7A9F">
        <w:rPr>
          <w:rFonts w:ascii="Arial" w:hAnsi="Arial" w:hint="eastAsia"/>
          <w:color w:val="000000" w:themeColor="text1"/>
          <w:rtl/>
        </w:rPr>
        <w:t>וזאת</w:t>
      </w:r>
      <w:r w:rsidRPr="00DD7A9F">
        <w:rPr>
          <w:rFonts w:ascii="Arial" w:hAnsi="Arial"/>
          <w:color w:val="000000" w:themeColor="text1"/>
          <w:rtl/>
        </w:rPr>
        <w:t xml:space="preserve"> </w:t>
      </w:r>
      <w:r w:rsidRPr="00DD7A9F">
        <w:rPr>
          <w:rFonts w:ascii="Arial" w:hAnsi="Arial" w:hint="eastAsia"/>
          <w:color w:val="000000" w:themeColor="text1"/>
          <w:rtl/>
        </w:rPr>
        <w:t>על</w:t>
      </w:r>
      <w:r w:rsidRPr="00DD7A9F">
        <w:rPr>
          <w:rFonts w:ascii="Arial" w:hAnsi="Arial"/>
          <w:color w:val="000000" w:themeColor="text1"/>
          <w:rtl/>
        </w:rPr>
        <w:t xml:space="preserve"> </w:t>
      </w:r>
      <w:r w:rsidRPr="00DD7A9F">
        <w:rPr>
          <w:rFonts w:ascii="Arial" w:hAnsi="Arial" w:hint="eastAsia"/>
          <w:color w:val="000000" w:themeColor="text1"/>
          <w:rtl/>
        </w:rPr>
        <w:t>יסוד</w:t>
      </w:r>
      <w:r w:rsidRPr="00DD7A9F">
        <w:rPr>
          <w:rFonts w:ascii="Arial" w:hAnsi="Arial"/>
          <w:color w:val="000000" w:themeColor="text1"/>
          <w:rtl/>
        </w:rPr>
        <w:t xml:space="preserve"> </w:t>
      </w:r>
      <w:r w:rsidRPr="00DD7A9F">
        <w:rPr>
          <w:rFonts w:ascii="Arial" w:hAnsi="Arial" w:hint="eastAsia"/>
          <w:color w:val="000000" w:themeColor="text1"/>
          <w:rtl/>
        </w:rPr>
        <w:t>התשתית</w:t>
      </w:r>
      <w:r w:rsidRPr="00DD7A9F">
        <w:rPr>
          <w:rFonts w:ascii="Arial" w:hAnsi="Arial"/>
          <w:color w:val="000000" w:themeColor="text1"/>
          <w:rtl/>
        </w:rPr>
        <w:t xml:space="preserve"> </w:t>
      </w:r>
      <w:r w:rsidRPr="00DD7A9F">
        <w:rPr>
          <w:rFonts w:ascii="Arial" w:hAnsi="Arial" w:hint="eastAsia"/>
          <w:color w:val="000000" w:themeColor="text1"/>
          <w:rtl/>
        </w:rPr>
        <w:t>הראייתית</w:t>
      </w:r>
      <w:r w:rsidRPr="00DD7A9F">
        <w:rPr>
          <w:rFonts w:ascii="Arial" w:hAnsi="Arial"/>
          <w:color w:val="000000" w:themeColor="text1"/>
          <w:rtl/>
        </w:rPr>
        <w:t xml:space="preserve"> </w:t>
      </w:r>
      <w:r w:rsidRPr="00DD7A9F">
        <w:rPr>
          <w:rFonts w:ascii="Arial" w:hAnsi="Arial" w:hint="eastAsia"/>
          <w:color w:val="000000" w:themeColor="text1"/>
          <w:rtl/>
        </w:rPr>
        <w:t>שהוצגה</w:t>
      </w:r>
      <w:r w:rsidRPr="00DD7A9F">
        <w:rPr>
          <w:rFonts w:ascii="Arial" w:hAnsi="Arial"/>
          <w:color w:val="000000" w:themeColor="text1"/>
          <w:rtl/>
        </w:rPr>
        <w:t xml:space="preserve"> </w:t>
      </w:r>
      <w:r w:rsidRPr="00DD7A9F">
        <w:rPr>
          <w:rFonts w:ascii="Arial" w:hAnsi="Arial" w:hint="eastAsia"/>
          <w:color w:val="000000" w:themeColor="text1"/>
          <w:rtl/>
        </w:rPr>
        <w:t>בפניו</w:t>
      </w:r>
      <w:r w:rsidRPr="00DD7A9F">
        <w:rPr>
          <w:rFonts w:ascii="Arial" w:hAnsi="Arial"/>
          <w:color w:val="000000" w:themeColor="text1"/>
          <w:rtl/>
        </w:rPr>
        <w:t xml:space="preserve">, </w:t>
      </w:r>
      <w:r w:rsidRPr="00DD7A9F">
        <w:rPr>
          <w:rFonts w:ascii="Arial" w:hAnsi="Arial" w:hint="eastAsia"/>
          <w:color w:val="000000" w:themeColor="text1"/>
          <w:rtl/>
        </w:rPr>
        <w:t>לפיה</w:t>
      </w:r>
      <w:r w:rsidRPr="00DD7A9F">
        <w:rPr>
          <w:rFonts w:ascii="Arial" w:hAnsi="Arial"/>
          <w:color w:val="000000" w:themeColor="text1"/>
          <w:rtl/>
        </w:rPr>
        <w:t xml:space="preserve"> </w:t>
      </w:r>
      <w:r w:rsidRPr="00DD7A9F">
        <w:rPr>
          <w:rFonts w:ascii="Arial" w:hAnsi="Arial" w:hint="eastAsia"/>
          <w:color w:val="000000" w:themeColor="text1"/>
          <w:rtl/>
        </w:rPr>
        <w:t>לא</w:t>
      </w:r>
      <w:r w:rsidRPr="00DD7A9F">
        <w:rPr>
          <w:rFonts w:ascii="Arial" w:hAnsi="Arial"/>
          <w:color w:val="000000" w:themeColor="text1"/>
          <w:rtl/>
        </w:rPr>
        <w:t xml:space="preserve"> </w:t>
      </w:r>
      <w:r w:rsidRPr="00DD7A9F">
        <w:rPr>
          <w:rFonts w:ascii="Arial" w:hAnsi="Arial" w:hint="eastAsia"/>
          <w:color w:val="000000" w:themeColor="text1"/>
          <w:rtl/>
        </w:rPr>
        <w:t>נערך</w:t>
      </w:r>
      <w:r w:rsidRPr="00DD7A9F">
        <w:rPr>
          <w:rFonts w:ascii="Arial" w:hAnsi="Arial"/>
          <w:color w:val="000000" w:themeColor="text1"/>
          <w:rtl/>
        </w:rPr>
        <w:t xml:space="preserve"> </w:t>
      </w:r>
      <w:r w:rsidRPr="00DD7A9F">
        <w:rPr>
          <w:rFonts w:ascii="Arial" w:hAnsi="Arial" w:hint="eastAsia"/>
          <w:color w:val="000000" w:themeColor="text1"/>
          <w:rtl/>
        </w:rPr>
        <w:t>כל</w:t>
      </w:r>
      <w:r w:rsidRPr="00DD7A9F">
        <w:rPr>
          <w:rFonts w:ascii="Arial" w:hAnsi="Arial"/>
          <w:color w:val="000000" w:themeColor="text1"/>
          <w:rtl/>
        </w:rPr>
        <w:t xml:space="preserve"> </w:t>
      </w:r>
      <w:r w:rsidRPr="00DD7A9F">
        <w:rPr>
          <w:rFonts w:ascii="Arial" w:hAnsi="Arial" w:hint="eastAsia"/>
          <w:color w:val="000000" w:themeColor="text1"/>
          <w:rtl/>
        </w:rPr>
        <w:t>הסכם</w:t>
      </w:r>
      <w:r w:rsidRPr="00DD7A9F">
        <w:rPr>
          <w:rFonts w:ascii="Arial" w:hAnsi="Arial"/>
          <w:color w:val="000000" w:themeColor="text1"/>
          <w:rtl/>
        </w:rPr>
        <w:t xml:space="preserve"> </w:t>
      </w:r>
      <w:r w:rsidRPr="00DD7A9F">
        <w:rPr>
          <w:rFonts w:ascii="Arial" w:hAnsi="Arial" w:hint="eastAsia"/>
          <w:color w:val="000000" w:themeColor="text1"/>
          <w:rtl/>
        </w:rPr>
        <w:t>בכתב</w:t>
      </w:r>
      <w:r w:rsidRPr="00DD7A9F">
        <w:rPr>
          <w:rFonts w:ascii="Arial" w:hAnsi="Arial"/>
          <w:color w:val="000000" w:themeColor="text1"/>
          <w:rtl/>
        </w:rPr>
        <w:t xml:space="preserve"> </w:t>
      </w:r>
      <w:r w:rsidRPr="00DD7A9F">
        <w:rPr>
          <w:rFonts w:ascii="Arial" w:hAnsi="Arial" w:hint="eastAsia"/>
          <w:color w:val="000000" w:themeColor="text1"/>
          <w:rtl/>
        </w:rPr>
        <w:t>או</w:t>
      </w:r>
      <w:r w:rsidRPr="00DD7A9F">
        <w:rPr>
          <w:rFonts w:ascii="Arial" w:hAnsi="Arial"/>
          <w:color w:val="000000" w:themeColor="text1"/>
          <w:rtl/>
        </w:rPr>
        <w:t xml:space="preserve"> </w:t>
      </w:r>
      <w:r w:rsidRPr="00DD7A9F">
        <w:rPr>
          <w:rFonts w:ascii="Arial" w:hAnsi="Arial" w:hint="eastAsia"/>
          <w:color w:val="000000" w:themeColor="text1"/>
          <w:rtl/>
        </w:rPr>
        <w:t>אסמכתא</w:t>
      </w:r>
      <w:r w:rsidRPr="00DD7A9F">
        <w:rPr>
          <w:rFonts w:ascii="Arial" w:hAnsi="Arial"/>
          <w:color w:val="000000" w:themeColor="text1"/>
          <w:rtl/>
        </w:rPr>
        <w:t xml:space="preserve"> </w:t>
      </w:r>
      <w:r w:rsidRPr="00DD7A9F">
        <w:rPr>
          <w:rFonts w:ascii="Arial" w:hAnsi="Arial" w:hint="eastAsia"/>
          <w:color w:val="000000" w:themeColor="text1"/>
          <w:rtl/>
        </w:rPr>
        <w:t>שמתוכה</w:t>
      </w:r>
      <w:r w:rsidRPr="00DD7A9F">
        <w:rPr>
          <w:rFonts w:ascii="Arial" w:hAnsi="Arial"/>
          <w:color w:val="000000" w:themeColor="text1"/>
          <w:rtl/>
        </w:rPr>
        <w:t xml:space="preserve"> </w:t>
      </w:r>
      <w:r w:rsidRPr="00DD7A9F">
        <w:rPr>
          <w:rFonts w:ascii="Arial" w:hAnsi="Arial" w:hint="eastAsia"/>
          <w:color w:val="000000" w:themeColor="text1"/>
          <w:rtl/>
        </w:rPr>
        <w:t>ניתן</w:t>
      </w:r>
      <w:r w:rsidRPr="00DD7A9F">
        <w:rPr>
          <w:rFonts w:ascii="Arial" w:hAnsi="Arial"/>
          <w:color w:val="000000" w:themeColor="text1"/>
          <w:rtl/>
        </w:rPr>
        <w:t xml:space="preserve"> </w:t>
      </w:r>
      <w:r w:rsidRPr="00DD7A9F">
        <w:rPr>
          <w:rFonts w:ascii="Arial" w:hAnsi="Arial" w:hint="eastAsia"/>
          <w:color w:val="000000" w:themeColor="text1"/>
          <w:rtl/>
        </w:rPr>
        <w:t>ללמוד</w:t>
      </w:r>
      <w:r w:rsidRPr="00DD7A9F">
        <w:rPr>
          <w:rFonts w:ascii="Arial" w:hAnsi="Arial"/>
          <w:color w:val="000000" w:themeColor="text1"/>
          <w:rtl/>
        </w:rPr>
        <w:t xml:space="preserve"> </w:t>
      </w:r>
      <w:r w:rsidRPr="00DD7A9F">
        <w:rPr>
          <w:rFonts w:ascii="Arial" w:hAnsi="Arial" w:hint="eastAsia"/>
          <w:color w:val="000000" w:themeColor="text1"/>
          <w:rtl/>
        </w:rPr>
        <w:t>כי</w:t>
      </w:r>
      <w:r w:rsidRPr="00DD7A9F">
        <w:rPr>
          <w:rFonts w:ascii="Arial" w:hAnsi="Arial"/>
          <w:color w:val="000000" w:themeColor="text1"/>
          <w:rtl/>
        </w:rPr>
        <w:t xml:space="preserve"> </w:t>
      </w:r>
      <w:r w:rsidRPr="00DD7A9F">
        <w:rPr>
          <w:rFonts w:ascii="Arial" w:hAnsi="Arial" w:hint="eastAsia"/>
          <w:color w:val="000000" w:themeColor="text1"/>
          <w:rtl/>
        </w:rPr>
        <w:t>המשיב</w:t>
      </w:r>
      <w:r w:rsidRPr="00DD7A9F">
        <w:rPr>
          <w:rFonts w:ascii="Arial" w:hAnsi="Arial"/>
          <w:color w:val="000000" w:themeColor="text1"/>
          <w:rtl/>
        </w:rPr>
        <w:t xml:space="preserve"> </w:t>
      </w:r>
      <w:r w:rsidRPr="00DD7A9F">
        <w:rPr>
          <w:rFonts w:ascii="Arial" w:hAnsi="Arial" w:hint="eastAsia"/>
          <w:color w:val="000000" w:themeColor="text1"/>
          <w:rtl/>
        </w:rPr>
        <w:t>העניק</w:t>
      </w:r>
      <w:r w:rsidRPr="00DD7A9F">
        <w:rPr>
          <w:rFonts w:ascii="Arial" w:hAnsi="Arial"/>
          <w:color w:val="000000" w:themeColor="text1"/>
          <w:rtl/>
        </w:rPr>
        <w:t xml:space="preserve"> </w:t>
      </w:r>
      <w:r w:rsidRPr="00DD7A9F">
        <w:rPr>
          <w:rFonts w:ascii="Arial" w:hAnsi="Arial" w:hint="eastAsia"/>
          <w:color w:val="000000" w:themeColor="text1"/>
          <w:rtl/>
        </w:rPr>
        <w:t>את</w:t>
      </w:r>
      <w:r w:rsidRPr="00DD7A9F">
        <w:rPr>
          <w:rFonts w:ascii="Arial" w:hAnsi="Arial"/>
          <w:color w:val="000000" w:themeColor="text1"/>
          <w:rtl/>
        </w:rPr>
        <w:t xml:space="preserve"> </w:t>
      </w:r>
      <w:r w:rsidRPr="00DD7A9F">
        <w:rPr>
          <w:rFonts w:ascii="Arial" w:hAnsi="Arial" w:hint="eastAsia"/>
          <w:color w:val="000000" w:themeColor="text1"/>
          <w:rtl/>
        </w:rPr>
        <w:t>זכויות</w:t>
      </w:r>
      <w:r w:rsidRPr="00DD7A9F">
        <w:rPr>
          <w:rFonts w:ascii="Arial" w:hAnsi="Arial"/>
          <w:color w:val="000000" w:themeColor="text1"/>
          <w:rtl/>
        </w:rPr>
        <w:t xml:space="preserve"> </w:t>
      </w:r>
      <w:r w:rsidRPr="00DD7A9F">
        <w:rPr>
          <w:rFonts w:ascii="Arial" w:hAnsi="Arial" w:hint="eastAsia"/>
          <w:color w:val="000000" w:themeColor="text1"/>
          <w:rtl/>
        </w:rPr>
        <w:t>הבעלות</w:t>
      </w:r>
      <w:r w:rsidRPr="00DD7A9F">
        <w:rPr>
          <w:rFonts w:ascii="Arial" w:hAnsi="Arial"/>
          <w:color w:val="000000" w:themeColor="text1"/>
          <w:rtl/>
        </w:rPr>
        <w:t xml:space="preserve"> </w:t>
      </w:r>
      <w:r w:rsidRPr="00DD7A9F">
        <w:rPr>
          <w:rFonts w:ascii="Arial" w:hAnsi="Arial" w:hint="eastAsia"/>
          <w:color w:val="000000" w:themeColor="text1"/>
          <w:rtl/>
        </w:rPr>
        <w:t>בשליש</w:t>
      </w:r>
      <w:r w:rsidRPr="00DD7A9F">
        <w:rPr>
          <w:rFonts w:ascii="Arial" w:hAnsi="Arial"/>
          <w:color w:val="000000" w:themeColor="text1"/>
          <w:rtl/>
        </w:rPr>
        <w:t xml:space="preserve"> </w:t>
      </w:r>
      <w:r w:rsidRPr="00DD7A9F">
        <w:rPr>
          <w:rFonts w:ascii="Arial" w:hAnsi="Arial" w:hint="eastAsia"/>
          <w:color w:val="000000" w:themeColor="text1"/>
          <w:rtl/>
        </w:rPr>
        <w:t>מהמקרקעין</w:t>
      </w:r>
      <w:r w:rsidRPr="00DD7A9F">
        <w:rPr>
          <w:rFonts w:ascii="Arial" w:hAnsi="Arial"/>
          <w:color w:val="000000" w:themeColor="text1"/>
          <w:rtl/>
        </w:rPr>
        <w:t xml:space="preserve"> </w:t>
      </w:r>
      <w:r w:rsidRPr="00DD7A9F">
        <w:rPr>
          <w:rFonts w:ascii="Arial" w:hAnsi="Arial" w:hint="eastAsia"/>
          <w:color w:val="000000" w:themeColor="text1"/>
          <w:rtl/>
        </w:rPr>
        <w:t>למערער</w:t>
      </w:r>
      <w:r w:rsidRPr="00DD7A9F">
        <w:rPr>
          <w:rFonts w:ascii="Arial" w:hAnsi="Arial"/>
          <w:color w:val="000000" w:themeColor="text1"/>
          <w:rtl/>
        </w:rPr>
        <w:t xml:space="preserve"> (סעיף 36 ו-51 לפסק הדין קמא), מעדויות הצדדים ועדיהם (סעיפים 37, 43 </w:t>
      </w:r>
      <w:r w:rsidRPr="00DD7A9F">
        <w:rPr>
          <w:rFonts w:ascii="Arial" w:hAnsi="Arial" w:hint="eastAsia"/>
          <w:color w:val="000000" w:themeColor="text1"/>
          <w:rtl/>
        </w:rPr>
        <w:t>ו</w:t>
      </w:r>
      <w:r w:rsidRPr="00DD7A9F">
        <w:rPr>
          <w:rFonts w:ascii="Arial" w:hAnsi="Arial"/>
          <w:color w:val="000000" w:themeColor="text1"/>
          <w:rtl/>
        </w:rPr>
        <w:t xml:space="preserve">-53 </w:t>
      </w:r>
      <w:r w:rsidRPr="00DD7A9F">
        <w:rPr>
          <w:rFonts w:ascii="Arial" w:hAnsi="Arial" w:hint="eastAsia"/>
          <w:color w:val="000000" w:themeColor="text1"/>
          <w:rtl/>
        </w:rPr>
        <w:t>לפסק</w:t>
      </w:r>
      <w:r w:rsidRPr="00DD7A9F">
        <w:rPr>
          <w:rFonts w:ascii="Arial" w:hAnsi="Arial"/>
          <w:color w:val="000000" w:themeColor="text1"/>
          <w:rtl/>
        </w:rPr>
        <w:t xml:space="preserve"> הדין קמא), מהתנהלות הצדדים </w:t>
      </w:r>
      <w:r w:rsidRPr="00DD7A9F">
        <w:rPr>
          <w:rFonts w:ascii="Arial" w:hAnsi="Arial" w:hint="eastAsia"/>
          <w:color w:val="000000" w:themeColor="text1"/>
          <w:rtl/>
        </w:rPr>
        <w:t>לאורך</w:t>
      </w:r>
      <w:r w:rsidRPr="00DD7A9F">
        <w:rPr>
          <w:rFonts w:ascii="Arial" w:hAnsi="Arial"/>
          <w:color w:val="000000" w:themeColor="text1"/>
          <w:rtl/>
        </w:rPr>
        <w:t xml:space="preserve"> השנים </w:t>
      </w:r>
      <w:r w:rsidRPr="00DD7A9F">
        <w:rPr>
          <w:rFonts w:ascii="Arial" w:hAnsi="Arial" w:hint="eastAsia"/>
          <w:color w:val="000000" w:themeColor="text1"/>
          <w:rtl/>
        </w:rPr>
        <w:t>אשר</w:t>
      </w:r>
      <w:r w:rsidRPr="00DD7A9F">
        <w:rPr>
          <w:rFonts w:ascii="Arial" w:hAnsi="Arial"/>
          <w:color w:val="000000" w:themeColor="text1"/>
          <w:rtl/>
        </w:rPr>
        <w:t xml:space="preserve"> חרף </w:t>
      </w:r>
      <w:r w:rsidRPr="00DD7A9F">
        <w:rPr>
          <w:rFonts w:ascii="Arial" w:hAnsi="Arial" w:hint="eastAsia"/>
          <w:color w:val="000000" w:themeColor="text1"/>
          <w:rtl/>
        </w:rPr>
        <w:t>המריבות</w:t>
      </w:r>
      <w:r w:rsidRPr="00DD7A9F">
        <w:rPr>
          <w:rFonts w:ascii="Arial" w:hAnsi="Arial"/>
          <w:color w:val="000000" w:themeColor="text1"/>
          <w:rtl/>
        </w:rPr>
        <w:t xml:space="preserve"> </w:t>
      </w:r>
      <w:r w:rsidRPr="00DD7A9F">
        <w:rPr>
          <w:rFonts w:ascii="Arial" w:hAnsi="Arial" w:hint="eastAsia"/>
          <w:color w:val="000000" w:themeColor="text1"/>
          <w:rtl/>
        </w:rPr>
        <w:t>ביניהם</w:t>
      </w:r>
      <w:r w:rsidRPr="00DD7A9F">
        <w:rPr>
          <w:rFonts w:ascii="Arial" w:hAnsi="Arial"/>
          <w:color w:val="000000" w:themeColor="text1"/>
          <w:rtl/>
        </w:rPr>
        <w:t xml:space="preserve"> (בשנת 2007 </w:t>
      </w:r>
      <w:r w:rsidRPr="00DD7A9F">
        <w:rPr>
          <w:rFonts w:ascii="Arial" w:hAnsi="Arial" w:hint="eastAsia"/>
          <w:color w:val="000000" w:themeColor="text1"/>
          <w:rtl/>
        </w:rPr>
        <w:t>ובשנת</w:t>
      </w:r>
      <w:r w:rsidRPr="00DD7A9F">
        <w:rPr>
          <w:rFonts w:ascii="Arial" w:hAnsi="Arial"/>
          <w:color w:val="000000" w:themeColor="text1"/>
          <w:rtl/>
        </w:rPr>
        <w:t xml:space="preserve"> 2009) </w:t>
      </w:r>
      <w:r w:rsidRPr="00DD7A9F">
        <w:rPr>
          <w:rFonts w:ascii="Arial" w:hAnsi="Arial" w:hint="eastAsia"/>
          <w:color w:val="000000" w:themeColor="text1"/>
          <w:rtl/>
        </w:rPr>
        <w:t>לא</w:t>
      </w:r>
      <w:r w:rsidRPr="00DD7A9F">
        <w:rPr>
          <w:rFonts w:ascii="Arial" w:hAnsi="Arial"/>
          <w:color w:val="000000" w:themeColor="text1"/>
          <w:rtl/>
        </w:rPr>
        <w:t xml:space="preserve"> </w:t>
      </w:r>
      <w:r w:rsidRPr="00DD7A9F">
        <w:rPr>
          <w:rFonts w:ascii="Arial" w:hAnsi="Arial" w:hint="eastAsia"/>
          <w:color w:val="000000" w:themeColor="text1"/>
          <w:rtl/>
        </w:rPr>
        <w:t>נקטו</w:t>
      </w:r>
      <w:r w:rsidRPr="00DD7A9F">
        <w:rPr>
          <w:rFonts w:ascii="Arial" w:hAnsi="Arial"/>
          <w:color w:val="000000" w:themeColor="text1"/>
          <w:rtl/>
        </w:rPr>
        <w:t xml:space="preserve"> </w:t>
      </w:r>
      <w:r w:rsidRPr="00DD7A9F">
        <w:rPr>
          <w:rFonts w:ascii="Arial" w:hAnsi="Arial" w:hint="eastAsia"/>
          <w:color w:val="000000" w:themeColor="text1"/>
          <w:rtl/>
        </w:rPr>
        <w:t>הליכים</w:t>
      </w:r>
      <w:r w:rsidRPr="00DD7A9F">
        <w:rPr>
          <w:rFonts w:ascii="Arial" w:hAnsi="Arial"/>
          <w:color w:val="000000" w:themeColor="text1"/>
          <w:rtl/>
        </w:rPr>
        <w:t xml:space="preserve"> </w:t>
      </w:r>
      <w:r w:rsidRPr="00DD7A9F">
        <w:rPr>
          <w:rFonts w:ascii="Arial" w:hAnsi="Arial" w:hint="eastAsia"/>
          <w:color w:val="000000" w:themeColor="text1"/>
          <w:rtl/>
        </w:rPr>
        <w:t>מתאימים</w:t>
      </w:r>
      <w:r w:rsidRPr="00DD7A9F">
        <w:rPr>
          <w:rFonts w:ascii="Arial" w:hAnsi="Arial"/>
          <w:color w:val="000000" w:themeColor="text1"/>
          <w:rtl/>
        </w:rPr>
        <w:t xml:space="preserve"> </w:t>
      </w:r>
      <w:r w:rsidRPr="00DD7A9F">
        <w:rPr>
          <w:rFonts w:ascii="Arial" w:hAnsi="Arial" w:hint="eastAsia"/>
          <w:color w:val="000000" w:themeColor="text1"/>
          <w:rtl/>
        </w:rPr>
        <w:t>להסדיר</w:t>
      </w:r>
      <w:r w:rsidRPr="00DD7A9F">
        <w:rPr>
          <w:rFonts w:ascii="Arial" w:hAnsi="Arial"/>
          <w:color w:val="000000" w:themeColor="text1"/>
          <w:rtl/>
        </w:rPr>
        <w:t xml:space="preserve"> </w:t>
      </w:r>
      <w:r w:rsidRPr="00DD7A9F">
        <w:rPr>
          <w:rFonts w:ascii="Arial" w:hAnsi="Arial" w:hint="eastAsia"/>
          <w:color w:val="000000" w:themeColor="text1"/>
          <w:rtl/>
        </w:rPr>
        <w:t>את</w:t>
      </w:r>
      <w:r w:rsidRPr="00DD7A9F">
        <w:rPr>
          <w:rFonts w:ascii="Arial" w:hAnsi="Arial"/>
          <w:color w:val="000000" w:themeColor="text1"/>
          <w:rtl/>
        </w:rPr>
        <w:t xml:space="preserve"> </w:t>
      </w:r>
      <w:r w:rsidRPr="00DD7A9F">
        <w:rPr>
          <w:rFonts w:ascii="Arial" w:hAnsi="Arial" w:hint="eastAsia"/>
          <w:color w:val="000000" w:themeColor="text1"/>
          <w:rtl/>
        </w:rPr>
        <w:t>רישום</w:t>
      </w:r>
      <w:r w:rsidRPr="00DD7A9F">
        <w:rPr>
          <w:rFonts w:ascii="Arial" w:hAnsi="Arial"/>
          <w:color w:val="000000" w:themeColor="text1"/>
          <w:rtl/>
        </w:rPr>
        <w:t xml:space="preserve"> </w:t>
      </w:r>
      <w:r w:rsidRPr="00DD7A9F">
        <w:rPr>
          <w:rFonts w:ascii="Arial" w:hAnsi="Arial" w:hint="eastAsia"/>
          <w:color w:val="000000" w:themeColor="text1"/>
          <w:rtl/>
        </w:rPr>
        <w:t>הזכויות</w:t>
      </w:r>
      <w:r w:rsidRPr="00DD7A9F">
        <w:rPr>
          <w:rFonts w:ascii="Arial" w:hAnsi="Arial"/>
          <w:noProof w:val="0"/>
          <w:color w:val="000000" w:themeColor="text1"/>
          <w:rtl/>
        </w:rPr>
        <w:t xml:space="preserve"> בבית או במקרקעין (סעיפים 38 ו-49 לפסק הדין קמא). עוד </w:t>
      </w:r>
      <w:r w:rsidRPr="00DD7A9F">
        <w:rPr>
          <w:rFonts w:ascii="Arial" w:hAnsi="Arial" w:hint="eastAsia"/>
          <w:noProof w:val="0"/>
          <w:color w:val="000000" w:themeColor="text1"/>
          <w:rtl/>
        </w:rPr>
        <w:t>קבע</w:t>
      </w:r>
      <w:r w:rsidRPr="00DD7A9F">
        <w:rPr>
          <w:rFonts w:ascii="Arial" w:hAnsi="Arial"/>
          <w:noProof w:val="0"/>
          <w:color w:val="000000" w:themeColor="text1"/>
          <w:rtl/>
        </w:rPr>
        <w:t xml:space="preserve"> בית משפט קמא כי לא שוכנע כי ניתנה התחייבות בעל פה שתכליתה הי</w:t>
      </w:r>
      <w:r w:rsidRPr="00DD7A9F">
        <w:rPr>
          <w:rFonts w:ascii="Arial" w:hAnsi="Arial" w:hint="eastAsia"/>
          <w:noProof w:val="0"/>
          <w:color w:val="000000" w:themeColor="text1"/>
          <w:rtl/>
        </w:rPr>
        <w:t>יתה</w:t>
      </w:r>
      <w:r w:rsidRPr="00DD7A9F">
        <w:rPr>
          <w:rFonts w:ascii="Arial" w:hAnsi="Arial"/>
          <w:noProof w:val="0"/>
          <w:color w:val="000000" w:themeColor="text1"/>
          <w:rtl/>
        </w:rPr>
        <w:t xml:space="preserve"> </w:t>
      </w:r>
      <w:r w:rsidRPr="00DD7A9F">
        <w:rPr>
          <w:rFonts w:ascii="Arial" w:hAnsi="Arial" w:hint="eastAsia"/>
          <w:noProof w:val="0"/>
          <w:color w:val="000000" w:themeColor="text1"/>
          <w:rtl/>
        </w:rPr>
        <w:t>הענקת</w:t>
      </w:r>
      <w:r w:rsidRPr="00DD7A9F">
        <w:rPr>
          <w:rFonts w:ascii="Arial" w:hAnsi="Arial"/>
          <w:noProof w:val="0"/>
          <w:color w:val="000000" w:themeColor="text1"/>
          <w:rtl/>
        </w:rPr>
        <w:t xml:space="preserve"> </w:t>
      </w:r>
      <w:r w:rsidRPr="00DD7A9F">
        <w:rPr>
          <w:rFonts w:ascii="Arial" w:hAnsi="Arial" w:hint="eastAsia"/>
          <w:noProof w:val="0"/>
          <w:color w:val="000000" w:themeColor="text1"/>
          <w:rtl/>
        </w:rPr>
        <w:t>זכויות</w:t>
      </w:r>
      <w:r w:rsidRPr="00DD7A9F">
        <w:rPr>
          <w:rFonts w:ascii="Arial" w:hAnsi="Arial"/>
          <w:noProof w:val="0"/>
          <w:color w:val="000000" w:themeColor="text1"/>
          <w:rtl/>
        </w:rPr>
        <w:t xml:space="preserve"> </w:t>
      </w:r>
      <w:r w:rsidRPr="00DD7A9F">
        <w:rPr>
          <w:rFonts w:ascii="Arial" w:hAnsi="Arial" w:hint="eastAsia"/>
          <w:noProof w:val="0"/>
          <w:color w:val="000000" w:themeColor="text1"/>
          <w:rtl/>
        </w:rPr>
        <w:t>קנייניות</w:t>
      </w:r>
      <w:r w:rsidRPr="00DD7A9F">
        <w:rPr>
          <w:rFonts w:ascii="Arial" w:hAnsi="Arial"/>
          <w:noProof w:val="0"/>
          <w:color w:val="000000" w:themeColor="text1"/>
          <w:rtl/>
        </w:rPr>
        <w:t xml:space="preserve"> ביחס למקרקעין, לחלופין הבית, אלא לכל היותר </w:t>
      </w:r>
      <w:r w:rsidRPr="00DD7A9F">
        <w:rPr>
          <w:rFonts w:ascii="Arial" w:hAnsi="Arial" w:hint="eastAsia"/>
          <w:noProof w:val="0"/>
          <w:color w:val="000000" w:themeColor="text1"/>
          <w:rtl/>
        </w:rPr>
        <w:t>ניתנה</w:t>
      </w:r>
      <w:r w:rsidRPr="00DD7A9F">
        <w:rPr>
          <w:rFonts w:ascii="Arial" w:hAnsi="Arial"/>
          <w:noProof w:val="0"/>
          <w:color w:val="000000" w:themeColor="text1"/>
          <w:rtl/>
        </w:rPr>
        <w:t xml:space="preserve"> </w:t>
      </w:r>
      <w:r w:rsidRPr="00DD7A9F">
        <w:rPr>
          <w:rFonts w:ascii="Arial" w:hAnsi="Arial" w:hint="eastAsia"/>
          <w:noProof w:val="0"/>
          <w:color w:val="000000" w:themeColor="text1"/>
          <w:rtl/>
        </w:rPr>
        <w:t>ההבטחה</w:t>
      </w:r>
      <w:r w:rsidRPr="00DD7A9F">
        <w:rPr>
          <w:rFonts w:ascii="Arial" w:hAnsi="Arial"/>
          <w:noProof w:val="0"/>
          <w:color w:val="000000" w:themeColor="text1"/>
          <w:rtl/>
        </w:rPr>
        <w:t xml:space="preserve"> למתן רשות להתגורר בבית (סעיף 39 לפסק הדין קמא). </w:t>
      </w:r>
    </w:p>
    <w:p w:rsidR="00B114FF" w:rsidRPr="00DD7A9F" w:rsidRDefault="00B114FF" w:rsidP="00F27E47">
      <w:pPr>
        <w:pStyle w:val="ad"/>
        <w:numPr>
          <w:ilvl w:val="0"/>
          <w:numId w:val="1"/>
        </w:numPr>
        <w:spacing w:after="120" w:line="360" w:lineRule="auto"/>
        <w:ind w:left="0" w:hanging="567"/>
        <w:contextualSpacing w:val="0"/>
        <w:jc w:val="both"/>
        <w:rPr>
          <w:rFonts w:ascii="Arial" w:hAnsi="Arial"/>
          <w:b/>
          <w:bCs/>
          <w:noProof w:val="0"/>
          <w:color w:val="000000" w:themeColor="text1"/>
          <w:rtl/>
        </w:rPr>
      </w:pPr>
      <w:r w:rsidRPr="00DD7A9F">
        <w:rPr>
          <w:rFonts w:ascii="Arial" w:hAnsi="Arial" w:hint="cs"/>
          <w:noProof w:val="0"/>
          <w:color w:val="000000" w:themeColor="text1"/>
          <w:rtl/>
        </w:rPr>
        <w:t xml:space="preserve">בית משפט קמא קבע כי הרשות שניתנה למערערים הינה רשות להתגורר בבית ורשות זו הינה הדירה, היינו שניתן לבטלה בכל עת בכפוף להענקת צדק ותום לב (ראו סעיפים 54, 61-65 לפסק הדין קמא). משלא הגישו המערערים תביעה להשקעות והשבחות שנעשו במקרקעין ו/או בבית, קבע בית משפט קמא, כי באיזון בין זכויותיו הקנייניות של המשיב לבין השלכות פסק הדין על מגורי המערערים, ומכוח שיקולי הצדק, עיכב את הפינוי למשך שנה (סעיפים 66-72 לפסק הדין קמא). </w:t>
      </w:r>
    </w:p>
    <w:p w:rsidR="00B114FF" w:rsidRPr="00DD7A9F" w:rsidRDefault="00B114FF" w:rsidP="00EE40EE">
      <w:pPr>
        <w:pStyle w:val="ad"/>
        <w:numPr>
          <w:ilvl w:val="0"/>
          <w:numId w:val="1"/>
        </w:numPr>
        <w:spacing w:after="120" w:line="360" w:lineRule="auto"/>
        <w:ind w:left="0" w:hanging="567"/>
        <w:contextualSpacing w:val="0"/>
        <w:jc w:val="both"/>
        <w:rPr>
          <w:rFonts w:ascii="David" w:hAnsi="David"/>
        </w:rPr>
      </w:pPr>
      <w:r w:rsidRPr="00DD7A9F">
        <w:rPr>
          <w:rFonts w:ascii="Arial" w:hAnsi="Arial" w:hint="eastAsia"/>
          <w:noProof w:val="0"/>
          <w:color w:val="000000" w:themeColor="text1"/>
          <w:rtl/>
        </w:rPr>
        <w:t>על</w:t>
      </w:r>
      <w:r w:rsidRPr="00DD7A9F">
        <w:rPr>
          <w:rFonts w:ascii="Arial" w:hAnsi="Arial"/>
          <w:noProof w:val="0"/>
          <w:color w:val="000000" w:themeColor="text1"/>
          <w:rtl/>
        </w:rPr>
        <w:t xml:space="preserve"> פסק דין קמא הגישו </w:t>
      </w:r>
      <w:r w:rsidRPr="00DD7A9F">
        <w:rPr>
          <w:rFonts w:ascii="Arial" w:hAnsi="Arial" w:hint="eastAsia"/>
          <w:noProof w:val="0"/>
          <w:color w:val="000000" w:themeColor="text1"/>
          <w:rtl/>
        </w:rPr>
        <w:t>כאמור</w:t>
      </w:r>
      <w:r w:rsidRPr="00DD7A9F">
        <w:rPr>
          <w:rFonts w:ascii="Arial" w:hAnsi="Arial"/>
          <w:noProof w:val="0"/>
          <w:color w:val="000000" w:themeColor="text1"/>
          <w:rtl/>
        </w:rPr>
        <w:t xml:space="preserve"> </w:t>
      </w:r>
      <w:r w:rsidRPr="00DD7A9F">
        <w:rPr>
          <w:rFonts w:ascii="Arial" w:hAnsi="Arial" w:hint="eastAsia"/>
          <w:noProof w:val="0"/>
          <w:color w:val="000000" w:themeColor="text1"/>
          <w:rtl/>
        </w:rPr>
        <w:t>המערערים</w:t>
      </w:r>
      <w:r w:rsidRPr="00DD7A9F">
        <w:rPr>
          <w:rFonts w:ascii="Arial" w:hAnsi="Arial"/>
          <w:noProof w:val="0"/>
          <w:color w:val="000000" w:themeColor="text1"/>
          <w:rtl/>
        </w:rPr>
        <w:t xml:space="preserve"> את ערעורם. </w:t>
      </w:r>
    </w:p>
    <w:p w:rsidR="00B114FF" w:rsidRPr="00DD7A9F" w:rsidRDefault="00B114FF" w:rsidP="003C43C7">
      <w:pPr>
        <w:pStyle w:val="ad"/>
        <w:numPr>
          <w:ilvl w:val="0"/>
          <w:numId w:val="1"/>
        </w:numPr>
        <w:spacing w:after="120" w:line="360" w:lineRule="auto"/>
        <w:ind w:left="0" w:hanging="567"/>
        <w:contextualSpacing w:val="0"/>
        <w:jc w:val="both"/>
        <w:rPr>
          <w:rFonts w:ascii="David" w:hAnsi="David"/>
          <w:rtl/>
        </w:rPr>
      </w:pPr>
      <w:r w:rsidRPr="00DD7A9F">
        <w:rPr>
          <w:rFonts w:ascii="David" w:hAnsi="David" w:hint="eastAsia"/>
          <w:rtl/>
        </w:rPr>
        <w:t>בתמצית</w:t>
      </w:r>
      <w:r w:rsidRPr="00DD7A9F">
        <w:rPr>
          <w:rFonts w:ascii="David" w:hAnsi="David"/>
          <w:rtl/>
        </w:rPr>
        <w:t xml:space="preserve">, </w:t>
      </w:r>
      <w:r w:rsidRPr="00DD7A9F">
        <w:rPr>
          <w:rFonts w:ascii="David" w:hAnsi="David" w:hint="eastAsia"/>
          <w:rtl/>
        </w:rPr>
        <w:t>טענו</w:t>
      </w:r>
      <w:r w:rsidRPr="00DD7A9F">
        <w:rPr>
          <w:rFonts w:ascii="David" w:hAnsi="David"/>
          <w:rtl/>
        </w:rPr>
        <w:t xml:space="preserve"> </w:t>
      </w:r>
      <w:r w:rsidRPr="00DD7A9F">
        <w:rPr>
          <w:rFonts w:ascii="David" w:hAnsi="David" w:hint="eastAsia"/>
          <w:rtl/>
        </w:rPr>
        <w:t>המערערים</w:t>
      </w:r>
      <w:r w:rsidRPr="00DD7A9F">
        <w:rPr>
          <w:rFonts w:ascii="David" w:hAnsi="David"/>
          <w:rtl/>
        </w:rPr>
        <w:t xml:space="preserve"> </w:t>
      </w:r>
      <w:r w:rsidRPr="00DD7A9F">
        <w:rPr>
          <w:rFonts w:ascii="David" w:hAnsi="David" w:hint="eastAsia"/>
          <w:rtl/>
        </w:rPr>
        <w:t>כי</w:t>
      </w:r>
      <w:r w:rsidRPr="00DD7A9F">
        <w:rPr>
          <w:rFonts w:ascii="David" w:hAnsi="David"/>
          <w:rtl/>
        </w:rPr>
        <w:t xml:space="preserve"> </w:t>
      </w:r>
      <w:r w:rsidRPr="00DD7A9F">
        <w:rPr>
          <w:rFonts w:ascii="David" w:hAnsi="David" w:hint="eastAsia"/>
          <w:rtl/>
        </w:rPr>
        <w:t>בית</w:t>
      </w:r>
      <w:r w:rsidRPr="00DD7A9F">
        <w:rPr>
          <w:rFonts w:ascii="David" w:hAnsi="David"/>
          <w:rtl/>
        </w:rPr>
        <w:t xml:space="preserve"> </w:t>
      </w:r>
      <w:r w:rsidRPr="00DD7A9F">
        <w:rPr>
          <w:rFonts w:ascii="David" w:hAnsi="David" w:hint="eastAsia"/>
          <w:rtl/>
        </w:rPr>
        <w:t>משפט</w:t>
      </w:r>
      <w:r w:rsidRPr="00DD7A9F">
        <w:rPr>
          <w:rFonts w:ascii="David" w:hAnsi="David"/>
          <w:rtl/>
        </w:rPr>
        <w:t xml:space="preserve"> </w:t>
      </w:r>
      <w:r w:rsidRPr="00DD7A9F">
        <w:rPr>
          <w:rFonts w:ascii="David" w:hAnsi="David" w:hint="eastAsia"/>
          <w:rtl/>
        </w:rPr>
        <w:t>קמא</w:t>
      </w:r>
      <w:r w:rsidRPr="00DD7A9F">
        <w:rPr>
          <w:rFonts w:ascii="David" w:hAnsi="David"/>
          <w:rtl/>
        </w:rPr>
        <w:t xml:space="preserve"> </w:t>
      </w:r>
      <w:r w:rsidRPr="00DD7A9F">
        <w:rPr>
          <w:rFonts w:ascii="David" w:hAnsi="David" w:hint="eastAsia"/>
          <w:rtl/>
        </w:rPr>
        <w:t>שגה</w:t>
      </w:r>
      <w:r w:rsidRPr="00DD7A9F">
        <w:rPr>
          <w:rFonts w:ascii="David" w:hAnsi="David"/>
          <w:rtl/>
        </w:rPr>
        <w:t xml:space="preserve"> </w:t>
      </w:r>
      <w:r w:rsidRPr="00DD7A9F">
        <w:rPr>
          <w:rFonts w:ascii="David" w:hAnsi="David" w:hint="eastAsia"/>
          <w:rtl/>
        </w:rPr>
        <w:t>עת</w:t>
      </w:r>
      <w:r w:rsidRPr="00DD7A9F">
        <w:rPr>
          <w:rFonts w:ascii="David" w:hAnsi="David"/>
          <w:rtl/>
        </w:rPr>
        <w:t xml:space="preserve"> </w:t>
      </w:r>
      <w:r w:rsidRPr="00DD7A9F">
        <w:rPr>
          <w:rFonts w:ascii="David" w:hAnsi="David" w:hint="eastAsia"/>
          <w:rtl/>
        </w:rPr>
        <w:t>קבע</w:t>
      </w:r>
      <w:r w:rsidRPr="00DD7A9F">
        <w:rPr>
          <w:rFonts w:ascii="David" w:hAnsi="David"/>
          <w:rtl/>
        </w:rPr>
        <w:t xml:space="preserve"> </w:t>
      </w:r>
      <w:r w:rsidRPr="00DD7A9F">
        <w:rPr>
          <w:rFonts w:ascii="David" w:hAnsi="David" w:hint="eastAsia"/>
          <w:rtl/>
        </w:rPr>
        <w:t>שלא</w:t>
      </w:r>
      <w:r w:rsidRPr="00DD7A9F">
        <w:rPr>
          <w:rFonts w:ascii="David" w:hAnsi="David"/>
          <w:rtl/>
        </w:rPr>
        <w:t xml:space="preserve"> </w:t>
      </w:r>
      <w:r w:rsidRPr="00DD7A9F">
        <w:rPr>
          <w:rFonts w:ascii="David" w:hAnsi="David" w:hint="eastAsia"/>
          <w:rtl/>
        </w:rPr>
        <w:t>עמדו</w:t>
      </w:r>
      <w:r w:rsidRPr="00DD7A9F">
        <w:rPr>
          <w:rFonts w:ascii="David" w:hAnsi="David"/>
          <w:rtl/>
        </w:rPr>
        <w:t xml:space="preserve"> </w:t>
      </w:r>
      <w:r w:rsidRPr="00DD7A9F">
        <w:rPr>
          <w:rFonts w:ascii="David" w:hAnsi="David" w:hint="eastAsia"/>
          <w:rtl/>
        </w:rPr>
        <w:t>בנטל</w:t>
      </w:r>
      <w:r w:rsidRPr="00DD7A9F">
        <w:rPr>
          <w:rFonts w:ascii="David" w:hAnsi="David"/>
          <w:rtl/>
        </w:rPr>
        <w:t xml:space="preserve"> </w:t>
      </w:r>
      <w:r w:rsidRPr="00DD7A9F">
        <w:rPr>
          <w:rFonts w:ascii="David" w:hAnsi="David" w:hint="eastAsia"/>
          <w:rtl/>
        </w:rPr>
        <w:t>ההוכחה</w:t>
      </w:r>
      <w:r w:rsidRPr="00DD7A9F">
        <w:rPr>
          <w:rFonts w:ascii="David" w:hAnsi="David"/>
          <w:rtl/>
        </w:rPr>
        <w:t xml:space="preserve"> </w:t>
      </w:r>
      <w:r w:rsidRPr="00DD7A9F">
        <w:rPr>
          <w:rFonts w:ascii="David" w:hAnsi="David" w:hint="eastAsia"/>
          <w:rtl/>
        </w:rPr>
        <w:t>המוטל</w:t>
      </w:r>
      <w:r w:rsidRPr="00DD7A9F">
        <w:rPr>
          <w:rFonts w:ascii="David" w:hAnsi="David"/>
          <w:rtl/>
        </w:rPr>
        <w:t xml:space="preserve"> </w:t>
      </w:r>
      <w:r w:rsidRPr="00DD7A9F">
        <w:rPr>
          <w:rFonts w:ascii="David" w:hAnsi="David" w:hint="eastAsia"/>
          <w:rtl/>
        </w:rPr>
        <w:t>עליהם</w:t>
      </w:r>
      <w:r w:rsidRPr="00DD7A9F">
        <w:rPr>
          <w:rFonts w:ascii="David" w:hAnsi="David"/>
          <w:rtl/>
        </w:rPr>
        <w:t xml:space="preserve"> </w:t>
      </w:r>
      <w:r w:rsidRPr="00DD7A9F">
        <w:rPr>
          <w:rFonts w:ascii="David" w:hAnsi="David" w:hint="eastAsia"/>
          <w:rtl/>
        </w:rPr>
        <w:t>כדי</w:t>
      </w:r>
      <w:r w:rsidRPr="00DD7A9F">
        <w:rPr>
          <w:rFonts w:ascii="David" w:hAnsi="David"/>
          <w:rtl/>
        </w:rPr>
        <w:t xml:space="preserve"> </w:t>
      </w:r>
      <w:r w:rsidRPr="00DD7A9F">
        <w:rPr>
          <w:rFonts w:ascii="David" w:hAnsi="David" w:hint="eastAsia"/>
          <w:rtl/>
        </w:rPr>
        <w:t>להוכיח</w:t>
      </w:r>
      <w:r w:rsidRPr="00DD7A9F">
        <w:rPr>
          <w:rFonts w:ascii="David" w:hAnsi="David"/>
          <w:rtl/>
        </w:rPr>
        <w:t xml:space="preserve"> </w:t>
      </w:r>
      <w:r w:rsidRPr="00DD7A9F">
        <w:rPr>
          <w:rFonts w:ascii="David" w:hAnsi="David" w:hint="eastAsia"/>
          <w:rtl/>
        </w:rPr>
        <w:t>שהבית</w:t>
      </w:r>
      <w:r w:rsidRPr="00DD7A9F">
        <w:rPr>
          <w:rFonts w:ascii="David" w:hAnsi="David"/>
          <w:rtl/>
        </w:rPr>
        <w:t xml:space="preserve"> </w:t>
      </w:r>
      <w:r w:rsidRPr="00DD7A9F">
        <w:rPr>
          <w:rFonts w:ascii="David" w:hAnsi="David" w:hint="eastAsia"/>
          <w:rtl/>
        </w:rPr>
        <w:t>שייך</w:t>
      </w:r>
      <w:r w:rsidRPr="00DD7A9F">
        <w:rPr>
          <w:rFonts w:ascii="David" w:hAnsi="David"/>
          <w:rtl/>
        </w:rPr>
        <w:t xml:space="preserve"> </w:t>
      </w:r>
      <w:r w:rsidRPr="00DD7A9F">
        <w:rPr>
          <w:rFonts w:ascii="David" w:hAnsi="David" w:hint="eastAsia"/>
          <w:rtl/>
        </w:rPr>
        <w:t>להם</w:t>
      </w:r>
      <w:r w:rsidRPr="00DD7A9F">
        <w:rPr>
          <w:rFonts w:ascii="David" w:hAnsi="David" w:hint="cs"/>
          <w:rtl/>
        </w:rPr>
        <w:t>;</w:t>
      </w:r>
      <w:r w:rsidRPr="00DD7A9F">
        <w:rPr>
          <w:rFonts w:ascii="David" w:hAnsi="David"/>
          <w:rtl/>
        </w:rPr>
        <w:t xml:space="preserve"> </w:t>
      </w:r>
      <w:r w:rsidRPr="00DD7A9F">
        <w:rPr>
          <w:rFonts w:ascii="David" w:hAnsi="David" w:hint="eastAsia"/>
          <w:rtl/>
        </w:rPr>
        <w:t>לחלופין</w:t>
      </w:r>
      <w:r w:rsidRPr="00DD7A9F">
        <w:rPr>
          <w:rFonts w:ascii="David" w:hAnsi="David"/>
          <w:rtl/>
        </w:rPr>
        <w:t xml:space="preserve"> </w:t>
      </w:r>
      <w:r w:rsidRPr="00DD7A9F">
        <w:rPr>
          <w:rFonts w:ascii="David" w:hAnsi="David" w:hint="eastAsia"/>
          <w:rtl/>
        </w:rPr>
        <w:t>כי</w:t>
      </w:r>
      <w:r w:rsidRPr="00DD7A9F">
        <w:rPr>
          <w:rFonts w:ascii="David" w:hAnsi="David"/>
          <w:rtl/>
        </w:rPr>
        <w:t xml:space="preserve"> </w:t>
      </w:r>
      <w:r w:rsidRPr="00DD7A9F">
        <w:rPr>
          <w:rFonts w:ascii="David" w:hAnsi="David" w:hint="eastAsia"/>
          <w:rtl/>
        </w:rPr>
        <w:t>הרשות</w:t>
      </w:r>
      <w:r w:rsidRPr="00DD7A9F">
        <w:rPr>
          <w:rFonts w:ascii="David" w:hAnsi="David"/>
          <w:rtl/>
        </w:rPr>
        <w:t xml:space="preserve"> </w:t>
      </w:r>
      <w:r w:rsidRPr="00DD7A9F">
        <w:rPr>
          <w:rFonts w:ascii="David" w:hAnsi="David" w:hint="eastAsia"/>
          <w:rtl/>
        </w:rPr>
        <w:t>שניתנה</w:t>
      </w:r>
      <w:r w:rsidRPr="00DD7A9F">
        <w:rPr>
          <w:rFonts w:ascii="David" w:hAnsi="David"/>
          <w:rtl/>
        </w:rPr>
        <w:t xml:space="preserve"> </w:t>
      </w:r>
      <w:r w:rsidRPr="00DD7A9F">
        <w:rPr>
          <w:rFonts w:ascii="David" w:hAnsi="David" w:hint="eastAsia"/>
          <w:rtl/>
        </w:rPr>
        <w:t>להם</w:t>
      </w:r>
      <w:r w:rsidRPr="00DD7A9F">
        <w:rPr>
          <w:rFonts w:ascii="David" w:hAnsi="David"/>
          <w:rtl/>
        </w:rPr>
        <w:t xml:space="preserve"> </w:t>
      </w:r>
      <w:r w:rsidRPr="00DD7A9F">
        <w:rPr>
          <w:rFonts w:ascii="David" w:hAnsi="David" w:hint="eastAsia"/>
          <w:rtl/>
        </w:rPr>
        <w:t>להתגורר</w:t>
      </w:r>
      <w:r w:rsidRPr="00DD7A9F">
        <w:rPr>
          <w:rFonts w:ascii="David" w:hAnsi="David"/>
          <w:rtl/>
        </w:rPr>
        <w:t xml:space="preserve"> </w:t>
      </w:r>
      <w:r w:rsidRPr="00DD7A9F">
        <w:rPr>
          <w:rFonts w:ascii="David" w:hAnsi="David" w:hint="eastAsia"/>
          <w:rtl/>
        </w:rPr>
        <w:t>בבית</w:t>
      </w:r>
      <w:r w:rsidRPr="00DD7A9F">
        <w:rPr>
          <w:rFonts w:ascii="David" w:hAnsi="David"/>
          <w:rtl/>
        </w:rPr>
        <w:t xml:space="preserve"> </w:t>
      </w:r>
      <w:r w:rsidRPr="00DD7A9F">
        <w:rPr>
          <w:rFonts w:ascii="David" w:hAnsi="David" w:hint="eastAsia"/>
          <w:rtl/>
        </w:rPr>
        <w:t>הינה</w:t>
      </w:r>
      <w:r w:rsidRPr="00DD7A9F">
        <w:rPr>
          <w:rFonts w:ascii="David" w:hAnsi="David"/>
          <w:rtl/>
        </w:rPr>
        <w:t xml:space="preserve"> </w:t>
      </w:r>
      <w:r w:rsidRPr="00DD7A9F">
        <w:rPr>
          <w:rFonts w:ascii="David" w:hAnsi="David" w:hint="eastAsia"/>
          <w:rtl/>
        </w:rPr>
        <w:t>בלתי</w:t>
      </w:r>
      <w:r w:rsidRPr="00DD7A9F">
        <w:rPr>
          <w:rFonts w:ascii="David" w:hAnsi="David"/>
          <w:rtl/>
        </w:rPr>
        <w:t xml:space="preserve"> </w:t>
      </w:r>
      <w:r w:rsidRPr="00DD7A9F">
        <w:rPr>
          <w:rFonts w:ascii="David" w:hAnsi="David" w:hint="eastAsia"/>
          <w:rtl/>
        </w:rPr>
        <w:t>הדירה</w:t>
      </w:r>
      <w:r w:rsidRPr="00DD7A9F">
        <w:rPr>
          <w:rFonts w:ascii="David" w:hAnsi="David" w:hint="cs"/>
          <w:rtl/>
        </w:rPr>
        <w:t>;</w:t>
      </w:r>
      <w:r w:rsidRPr="00DD7A9F">
        <w:rPr>
          <w:rFonts w:ascii="David" w:hAnsi="David"/>
          <w:rtl/>
        </w:rPr>
        <w:t xml:space="preserve"> </w:t>
      </w:r>
      <w:r w:rsidRPr="00DD7A9F">
        <w:rPr>
          <w:rFonts w:ascii="David" w:hAnsi="David" w:hint="cs"/>
          <w:rtl/>
        </w:rPr>
        <w:t xml:space="preserve">לחילופי </w:t>
      </w:r>
      <w:r w:rsidRPr="00DD7A9F">
        <w:rPr>
          <w:rFonts w:ascii="David" w:hAnsi="David" w:hint="cs"/>
          <w:rtl/>
        </w:rPr>
        <w:lastRenderedPageBreak/>
        <w:t>חילופין</w:t>
      </w:r>
      <w:r w:rsidRPr="00DD7A9F">
        <w:rPr>
          <w:rFonts w:ascii="David" w:hAnsi="David"/>
          <w:rtl/>
        </w:rPr>
        <w:t xml:space="preserve"> </w:t>
      </w:r>
      <w:r w:rsidRPr="00DD7A9F">
        <w:rPr>
          <w:rFonts w:ascii="David" w:hAnsi="David" w:hint="eastAsia"/>
          <w:rtl/>
        </w:rPr>
        <w:t>כי</w:t>
      </w:r>
      <w:r w:rsidRPr="00DD7A9F">
        <w:rPr>
          <w:rFonts w:ascii="David" w:hAnsi="David"/>
          <w:rtl/>
        </w:rPr>
        <w:t xml:space="preserve"> </w:t>
      </w:r>
      <w:r w:rsidRPr="00DD7A9F">
        <w:rPr>
          <w:rFonts w:ascii="David" w:hAnsi="David" w:hint="eastAsia"/>
          <w:rtl/>
        </w:rPr>
        <w:t>הרשות</w:t>
      </w:r>
      <w:r w:rsidRPr="00DD7A9F">
        <w:rPr>
          <w:rFonts w:ascii="David" w:hAnsi="David"/>
          <w:rtl/>
        </w:rPr>
        <w:t xml:space="preserve"> </w:t>
      </w:r>
      <w:r w:rsidRPr="00DD7A9F">
        <w:rPr>
          <w:rFonts w:ascii="David" w:hAnsi="David" w:hint="eastAsia"/>
          <w:rtl/>
        </w:rPr>
        <w:t>שניתנה</w:t>
      </w:r>
      <w:r w:rsidRPr="00DD7A9F">
        <w:rPr>
          <w:rFonts w:ascii="David" w:hAnsi="David"/>
          <w:rtl/>
        </w:rPr>
        <w:t xml:space="preserve"> </w:t>
      </w:r>
      <w:r w:rsidRPr="00DD7A9F">
        <w:rPr>
          <w:rFonts w:ascii="David" w:hAnsi="David" w:hint="eastAsia"/>
          <w:rtl/>
        </w:rPr>
        <w:t>להם</w:t>
      </w:r>
      <w:r w:rsidRPr="00DD7A9F">
        <w:rPr>
          <w:rFonts w:ascii="David" w:hAnsi="David"/>
          <w:rtl/>
        </w:rPr>
        <w:t xml:space="preserve"> </w:t>
      </w:r>
      <w:r w:rsidRPr="00DD7A9F">
        <w:rPr>
          <w:rFonts w:ascii="David" w:hAnsi="David" w:hint="eastAsia"/>
          <w:rtl/>
        </w:rPr>
        <w:t>הינה</w:t>
      </w:r>
      <w:r w:rsidRPr="00DD7A9F">
        <w:rPr>
          <w:rFonts w:ascii="David" w:hAnsi="David"/>
          <w:rtl/>
        </w:rPr>
        <w:t xml:space="preserve"> </w:t>
      </w:r>
      <w:r w:rsidRPr="00DD7A9F">
        <w:rPr>
          <w:rFonts w:ascii="David" w:hAnsi="David" w:hint="eastAsia"/>
          <w:rtl/>
        </w:rPr>
        <w:t>הדירה</w:t>
      </w:r>
      <w:r w:rsidRPr="00DD7A9F">
        <w:rPr>
          <w:rFonts w:ascii="David" w:hAnsi="David"/>
          <w:rtl/>
        </w:rPr>
        <w:t xml:space="preserve"> </w:t>
      </w:r>
      <w:r w:rsidRPr="00DD7A9F">
        <w:rPr>
          <w:rFonts w:ascii="David" w:hAnsi="David" w:hint="eastAsia"/>
          <w:rtl/>
        </w:rPr>
        <w:t>וזאת</w:t>
      </w:r>
      <w:r w:rsidRPr="00DD7A9F">
        <w:rPr>
          <w:rFonts w:ascii="David" w:hAnsi="David"/>
          <w:rtl/>
        </w:rPr>
        <w:t xml:space="preserve"> </w:t>
      </w:r>
      <w:r w:rsidRPr="00DD7A9F">
        <w:rPr>
          <w:rFonts w:ascii="David" w:hAnsi="David" w:hint="eastAsia"/>
          <w:rtl/>
        </w:rPr>
        <w:t>תוך</w:t>
      </w:r>
      <w:r w:rsidRPr="00DD7A9F">
        <w:rPr>
          <w:rFonts w:ascii="David" w:hAnsi="David"/>
          <w:rtl/>
        </w:rPr>
        <w:t xml:space="preserve"> </w:t>
      </w:r>
      <w:r w:rsidRPr="00DD7A9F">
        <w:rPr>
          <w:rFonts w:ascii="David" w:hAnsi="David" w:hint="eastAsia"/>
          <w:rtl/>
        </w:rPr>
        <w:t>קביעה</w:t>
      </w:r>
      <w:r w:rsidRPr="00DD7A9F">
        <w:rPr>
          <w:rFonts w:ascii="David" w:hAnsi="David"/>
          <w:rtl/>
        </w:rPr>
        <w:t xml:space="preserve"> </w:t>
      </w:r>
      <w:r w:rsidRPr="00DD7A9F">
        <w:rPr>
          <w:rFonts w:ascii="David" w:hAnsi="David" w:hint="eastAsia"/>
          <w:rtl/>
        </w:rPr>
        <w:t>כי</w:t>
      </w:r>
      <w:r w:rsidRPr="00DD7A9F">
        <w:rPr>
          <w:rFonts w:ascii="David" w:hAnsi="David"/>
          <w:rtl/>
        </w:rPr>
        <w:t xml:space="preserve"> </w:t>
      </w:r>
      <w:r w:rsidRPr="00DD7A9F">
        <w:rPr>
          <w:rFonts w:ascii="David" w:hAnsi="David" w:hint="eastAsia"/>
          <w:rtl/>
        </w:rPr>
        <w:t>פינוי</w:t>
      </w:r>
      <w:r w:rsidRPr="00DD7A9F">
        <w:rPr>
          <w:rFonts w:ascii="David" w:hAnsi="David"/>
          <w:rtl/>
        </w:rPr>
        <w:t xml:space="preserve"> </w:t>
      </w:r>
      <w:r w:rsidRPr="00DD7A9F">
        <w:rPr>
          <w:rFonts w:ascii="David" w:hAnsi="David" w:hint="eastAsia"/>
          <w:rtl/>
        </w:rPr>
        <w:t>הבית</w:t>
      </w:r>
      <w:r w:rsidRPr="00DD7A9F">
        <w:rPr>
          <w:rFonts w:ascii="David" w:hAnsi="David"/>
          <w:rtl/>
        </w:rPr>
        <w:t xml:space="preserve"> </w:t>
      </w:r>
      <w:r w:rsidRPr="00DD7A9F">
        <w:rPr>
          <w:rFonts w:ascii="David" w:hAnsi="David" w:hint="eastAsia"/>
          <w:rtl/>
        </w:rPr>
        <w:t>ייעשה</w:t>
      </w:r>
      <w:r w:rsidRPr="00DD7A9F">
        <w:rPr>
          <w:rFonts w:ascii="David" w:hAnsi="David"/>
          <w:rtl/>
        </w:rPr>
        <w:t xml:space="preserve"> </w:t>
      </w:r>
      <w:r w:rsidRPr="00DD7A9F">
        <w:rPr>
          <w:rFonts w:ascii="David" w:hAnsi="David" w:hint="eastAsia"/>
          <w:rtl/>
        </w:rPr>
        <w:t>תוך</w:t>
      </w:r>
      <w:r w:rsidRPr="00DD7A9F">
        <w:rPr>
          <w:rFonts w:ascii="David" w:hAnsi="David"/>
          <w:rtl/>
        </w:rPr>
        <w:t xml:space="preserve"> </w:t>
      </w:r>
      <w:r w:rsidRPr="00DD7A9F">
        <w:rPr>
          <w:rFonts w:ascii="David" w:hAnsi="David" w:hint="eastAsia"/>
          <w:rtl/>
        </w:rPr>
        <w:t>שנה</w:t>
      </w:r>
      <w:r w:rsidRPr="00DD7A9F">
        <w:rPr>
          <w:rFonts w:ascii="David" w:hAnsi="David" w:hint="cs"/>
          <w:rtl/>
        </w:rPr>
        <w:t>,</w:t>
      </w:r>
      <w:r w:rsidRPr="00DD7A9F">
        <w:rPr>
          <w:rFonts w:ascii="David" w:hAnsi="David"/>
          <w:rtl/>
        </w:rPr>
        <w:t xml:space="preserve"> </w:t>
      </w:r>
      <w:r w:rsidRPr="00DD7A9F">
        <w:rPr>
          <w:rFonts w:ascii="David" w:hAnsi="David" w:hint="eastAsia"/>
          <w:rtl/>
        </w:rPr>
        <w:t>והכל</w:t>
      </w:r>
      <w:r w:rsidRPr="00DD7A9F">
        <w:rPr>
          <w:rFonts w:ascii="David" w:hAnsi="David"/>
          <w:rtl/>
        </w:rPr>
        <w:t xml:space="preserve"> </w:t>
      </w:r>
      <w:r w:rsidRPr="00DD7A9F">
        <w:rPr>
          <w:rFonts w:ascii="David" w:hAnsi="David" w:hint="eastAsia"/>
          <w:rtl/>
        </w:rPr>
        <w:t>ללא</w:t>
      </w:r>
      <w:r w:rsidRPr="00DD7A9F">
        <w:rPr>
          <w:rFonts w:ascii="David" w:hAnsi="David"/>
          <w:rtl/>
        </w:rPr>
        <w:t xml:space="preserve"> </w:t>
      </w:r>
      <w:r w:rsidRPr="00DD7A9F">
        <w:rPr>
          <w:rFonts w:ascii="David" w:hAnsi="David" w:hint="eastAsia"/>
          <w:rtl/>
        </w:rPr>
        <w:t>התנייה</w:t>
      </w:r>
      <w:r w:rsidRPr="00DD7A9F">
        <w:rPr>
          <w:rFonts w:ascii="David" w:hAnsi="David"/>
          <w:rtl/>
        </w:rPr>
        <w:t xml:space="preserve"> </w:t>
      </w:r>
      <w:r w:rsidRPr="00DD7A9F">
        <w:rPr>
          <w:rFonts w:ascii="David" w:hAnsi="David" w:hint="eastAsia"/>
          <w:rtl/>
        </w:rPr>
        <w:t>או</w:t>
      </w:r>
      <w:r w:rsidRPr="00DD7A9F">
        <w:rPr>
          <w:rFonts w:ascii="David" w:hAnsi="David"/>
          <w:rtl/>
        </w:rPr>
        <w:t xml:space="preserve"> </w:t>
      </w:r>
      <w:r w:rsidRPr="00DD7A9F">
        <w:rPr>
          <w:rFonts w:ascii="David" w:hAnsi="David" w:hint="eastAsia"/>
          <w:rtl/>
        </w:rPr>
        <w:t>קביעה</w:t>
      </w:r>
      <w:r w:rsidRPr="00DD7A9F">
        <w:rPr>
          <w:rFonts w:ascii="David" w:hAnsi="David"/>
          <w:rtl/>
        </w:rPr>
        <w:t xml:space="preserve"> </w:t>
      </w:r>
      <w:r w:rsidRPr="00DD7A9F">
        <w:rPr>
          <w:rFonts w:ascii="David" w:hAnsi="David" w:hint="eastAsia"/>
          <w:rtl/>
        </w:rPr>
        <w:t>שהפינוי</w:t>
      </w:r>
      <w:r w:rsidRPr="00DD7A9F">
        <w:rPr>
          <w:rFonts w:ascii="David" w:hAnsi="David"/>
          <w:rtl/>
        </w:rPr>
        <w:t xml:space="preserve"> </w:t>
      </w:r>
      <w:r w:rsidRPr="00DD7A9F">
        <w:rPr>
          <w:rFonts w:ascii="David" w:hAnsi="David" w:hint="eastAsia"/>
          <w:rtl/>
        </w:rPr>
        <w:t>ייעשה</w:t>
      </w:r>
      <w:r w:rsidRPr="00DD7A9F">
        <w:rPr>
          <w:rFonts w:ascii="David" w:hAnsi="David"/>
          <w:rtl/>
        </w:rPr>
        <w:t xml:space="preserve"> </w:t>
      </w:r>
      <w:r w:rsidRPr="00DD7A9F">
        <w:rPr>
          <w:rFonts w:ascii="David" w:hAnsi="David" w:hint="eastAsia"/>
          <w:rtl/>
        </w:rPr>
        <w:t>בכפוף</w:t>
      </w:r>
      <w:r w:rsidRPr="00DD7A9F">
        <w:rPr>
          <w:rFonts w:ascii="David" w:hAnsi="David"/>
          <w:rtl/>
        </w:rPr>
        <w:t xml:space="preserve"> </w:t>
      </w:r>
      <w:r w:rsidRPr="00DD7A9F">
        <w:rPr>
          <w:rFonts w:ascii="David" w:hAnsi="David" w:hint="eastAsia"/>
          <w:rtl/>
        </w:rPr>
        <w:t>לפיצויים</w:t>
      </w:r>
      <w:r w:rsidRPr="00DD7A9F">
        <w:rPr>
          <w:rFonts w:ascii="David" w:hAnsi="David"/>
          <w:rtl/>
        </w:rPr>
        <w:t xml:space="preserve"> </w:t>
      </w:r>
      <w:r w:rsidRPr="00DD7A9F">
        <w:rPr>
          <w:rFonts w:ascii="David" w:hAnsi="David" w:hint="eastAsia"/>
          <w:rtl/>
        </w:rPr>
        <w:t>בגין</w:t>
      </w:r>
      <w:r w:rsidRPr="00DD7A9F">
        <w:rPr>
          <w:rFonts w:ascii="David" w:hAnsi="David"/>
          <w:rtl/>
        </w:rPr>
        <w:t xml:space="preserve"> </w:t>
      </w:r>
      <w:r w:rsidRPr="00DD7A9F">
        <w:rPr>
          <w:rFonts w:ascii="David" w:hAnsi="David" w:hint="eastAsia"/>
          <w:rtl/>
        </w:rPr>
        <w:t>השקעה</w:t>
      </w:r>
      <w:r w:rsidRPr="00DD7A9F">
        <w:rPr>
          <w:rFonts w:ascii="David" w:hAnsi="David"/>
          <w:rtl/>
        </w:rPr>
        <w:t xml:space="preserve"> </w:t>
      </w:r>
      <w:r w:rsidRPr="00DD7A9F">
        <w:rPr>
          <w:rFonts w:ascii="David" w:hAnsi="David" w:hint="eastAsia"/>
          <w:rtl/>
        </w:rPr>
        <w:t>והשבחת</w:t>
      </w:r>
      <w:r w:rsidRPr="00DD7A9F">
        <w:rPr>
          <w:rFonts w:ascii="David" w:hAnsi="David"/>
          <w:rtl/>
        </w:rPr>
        <w:t xml:space="preserve"> </w:t>
      </w:r>
      <w:r w:rsidRPr="00DD7A9F">
        <w:rPr>
          <w:rFonts w:ascii="David" w:hAnsi="David" w:hint="eastAsia"/>
          <w:rtl/>
        </w:rPr>
        <w:t>הבית</w:t>
      </w:r>
      <w:r w:rsidRPr="00DD7A9F">
        <w:rPr>
          <w:rFonts w:ascii="David" w:hAnsi="David"/>
          <w:rtl/>
        </w:rPr>
        <w:t xml:space="preserve">. </w:t>
      </w:r>
    </w:p>
    <w:p w:rsidR="00B114FF" w:rsidRPr="00DD7A9F" w:rsidRDefault="00B114FF" w:rsidP="00713FD3">
      <w:pPr>
        <w:pStyle w:val="ad"/>
        <w:numPr>
          <w:ilvl w:val="0"/>
          <w:numId w:val="1"/>
        </w:numPr>
        <w:spacing w:after="120" w:line="360" w:lineRule="auto"/>
        <w:ind w:left="0" w:hanging="567"/>
        <w:contextualSpacing w:val="0"/>
        <w:jc w:val="both"/>
        <w:rPr>
          <w:rFonts w:ascii="David" w:hAnsi="David"/>
        </w:rPr>
      </w:pPr>
      <w:r w:rsidRPr="00DD7A9F">
        <w:rPr>
          <w:rFonts w:ascii="David" w:hAnsi="David" w:hint="cs"/>
          <w:rtl/>
        </w:rPr>
        <w:t>המשיבים מצדם טענו כי דין הערעור להידחות מאחר ופסק הדין קמא הינו מנומק, התבסס על מספר רב של רבדי הנמקה. בית משפט קמא הגיע למסקנות חד משמעיות כי המערערים לא עמדו בנטל הראיה אשר היה מוטל על כתפיהם. בית המשפט לערעורים אינו נוטה להתערב בממצאים העובדתיים שנמצאו על ידי הערכאה הראשונה אלא במקרים חריגים, כאשר נפלה טעות היורדת לעניינו של עניין, וכן אינו נוטה להתערב בממצאי המהימנות שנקבעו על ידי הערכאה הראשונה, שכן אין בידה האפשרות להתרשם מהעדים וחקירתם באופן בלתי אמצעי ואין זה המקרה שבפנינו.</w:t>
      </w:r>
    </w:p>
    <w:p w:rsidR="00B114FF" w:rsidRPr="00B52C5F" w:rsidRDefault="00B114FF" w:rsidP="002D2B3B">
      <w:pPr>
        <w:pStyle w:val="ad"/>
        <w:numPr>
          <w:ilvl w:val="0"/>
          <w:numId w:val="1"/>
        </w:numPr>
        <w:spacing w:after="120" w:line="360" w:lineRule="auto"/>
        <w:ind w:left="0" w:hanging="567"/>
        <w:contextualSpacing w:val="0"/>
        <w:jc w:val="both"/>
        <w:rPr>
          <w:rFonts w:ascii="Arial" w:hAnsi="Arial"/>
          <w:b/>
          <w:bCs/>
          <w:color w:val="000000" w:themeColor="text1"/>
          <w:rtl/>
        </w:rPr>
      </w:pPr>
      <w:r w:rsidRPr="00B52C5F">
        <w:rPr>
          <w:rFonts w:ascii="David" w:hAnsi="David" w:hint="cs"/>
          <w:rtl/>
        </w:rPr>
        <w:t>בצד הודעת הערעור, הגישו המערערים  בקשה לצירוף ראיות חדשות, זאת מכוח תקנה 144 לתקנות סדר הדין האזרחי, התשע"ט-2018 (להלן: "</w:t>
      </w:r>
      <w:r w:rsidRPr="00B52C5F">
        <w:rPr>
          <w:rFonts w:ascii="David" w:hAnsi="David" w:hint="cs"/>
          <w:b/>
          <w:bCs/>
          <w:rtl/>
        </w:rPr>
        <w:t>התקנות</w:t>
      </w:r>
      <w:r w:rsidRPr="00B52C5F">
        <w:rPr>
          <w:rFonts w:ascii="David" w:hAnsi="David" w:hint="cs"/>
          <w:rtl/>
        </w:rPr>
        <w:t xml:space="preserve">"), בה ביקשו לצרף לערעור העתק של אישור תשלומי ארנונה, העתק אישור תשלום הקנסות בתיק בתכנון והבניה, העתק דוחות </w:t>
      </w:r>
      <w:r w:rsidRPr="00B52C5F">
        <w:rPr>
          <w:rFonts w:ascii="David" w:hAnsi="David" w:hint="cs"/>
        </w:rPr>
        <w:t>ESNA</w:t>
      </w:r>
      <w:r w:rsidRPr="00B52C5F">
        <w:rPr>
          <w:rFonts w:ascii="David" w:hAnsi="David" w:hint="cs"/>
          <w:rtl/>
        </w:rPr>
        <w:t xml:space="preserve"> שיש בהן להוכיח לכאורה כי הכנסות העסק שלו ושל אחיו היו גבוהות ביותר, וכן צילומי המחאות שמסר המערער למשיב. המערערים ציינו בבקשתם כי ראיות אלו נדרשות להליך דנן וזאת לצורך מניעת עיוות דין, וכי לא ניתן היה להגישן בהליך הקודם.</w:t>
      </w:r>
      <w:r w:rsidRPr="00B52C5F">
        <w:rPr>
          <w:rFonts w:ascii="Arial" w:hAnsi="Arial" w:hint="cs"/>
          <w:b/>
          <w:bCs/>
          <w:color w:val="000000" w:themeColor="text1"/>
          <w:rtl/>
        </w:rPr>
        <w:t xml:space="preserve"> </w:t>
      </w:r>
    </w:p>
    <w:p w:rsidR="00B114FF" w:rsidRPr="00E0236E" w:rsidRDefault="00B114FF" w:rsidP="002D2B3B">
      <w:pPr>
        <w:pStyle w:val="ad"/>
        <w:spacing w:after="120" w:line="360" w:lineRule="auto"/>
        <w:ind w:left="0" w:hanging="567"/>
        <w:contextualSpacing w:val="0"/>
        <w:jc w:val="both"/>
        <w:rPr>
          <w:rFonts w:ascii="Arial" w:hAnsi="Arial"/>
          <w:b/>
          <w:bCs/>
          <w:color w:val="000000" w:themeColor="text1"/>
        </w:rPr>
      </w:pPr>
    </w:p>
    <w:p w:rsidR="00B114FF" w:rsidRPr="00E0236E" w:rsidRDefault="00B114FF" w:rsidP="002D2B3B">
      <w:pPr>
        <w:pStyle w:val="ad"/>
        <w:spacing w:after="120" w:line="360" w:lineRule="auto"/>
        <w:ind w:left="0" w:hanging="567"/>
        <w:contextualSpacing w:val="0"/>
        <w:jc w:val="both"/>
        <w:rPr>
          <w:rFonts w:ascii="David" w:hAnsi="David"/>
        </w:rPr>
      </w:pPr>
      <w:r w:rsidRPr="00B52C5F">
        <w:rPr>
          <w:rFonts w:ascii="David" w:hAnsi="David" w:hint="cs"/>
          <w:b/>
          <w:bCs/>
          <w:u w:val="single"/>
          <w:rtl/>
        </w:rPr>
        <w:t>דיון והכרעה בבקשה לצירוף ראיות</w:t>
      </w:r>
      <w:r w:rsidRPr="00DE7017">
        <w:rPr>
          <w:rFonts w:ascii="David" w:hAnsi="David" w:hint="cs"/>
          <w:b/>
          <w:bCs/>
          <w:rtl/>
        </w:rPr>
        <w:t>:</w:t>
      </w:r>
    </w:p>
    <w:p w:rsidR="00B114FF" w:rsidRPr="00E0236E" w:rsidRDefault="00B114FF" w:rsidP="002D2B3B">
      <w:pPr>
        <w:pStyle w:val="ad"/>
        <w:numPr>
          <w:ilvl w:val="0"/>
          <w:numId w:val="1"/>
        </w:numPr>
        <w:spacing w:after="120" w:line="360" w:lineRule="auto"/>
        <w:ind w:left="0" w:hanging="567"/>
        <w:contextualSpacing w:val="0"/>
        <w:jc w:val="both"/>
        <w:rPr>
          <w:rFonts w:ascii="David" w:hAnsi="David"/>
          <w:rtl/>
        </w:rPr>
      </w:pPr>
      <w:r w:rsidRPr="00B52C5F">
        <w:rPr>
          <w:rFonts w:ascii="David" w:hAnsi="David" w:hint="cs"/>
          <w:u w:val="single"/>
          <w:rtl/>
        </w:rPr>
        <w:t>תקנה 144 לתקנות מורה כדלקמן</w:t>
      </w:r>
      <w:r w:rsidRPr="0011458E">
        <w:rPr>
          <w:rFonts w:ascii="David" w:hAnsi="David" w:hint="cs"/>
          <w:rtl/>
        </w:rPr>
        <w:t xml:space="preserve">: </w:t>
      </w:r>
    </w:p>
    <w:p w:rsidR="00B114FF" w:rsidRPr="00C10B54" w:rsidRDefault="00DD7A9F" w:rsidP="005925F3">
      <w:pPr>
        <w:pStyle w:val="ad"/>
        <w:spacing w:after="120" w:line="360" w:lineRule="auto"/>
        <w:ind w:left="850" w:right="1134" w:hanging="1417"/>
        <w:contextualSpacing w:val="0"/>
        <w:jc w:val="both"/>
        <w:rPr>
          <w:rFonts w:ascii="David" w:hAnsi="David"/>
        </w:rPr>
      </w:pPr>
      <w:r>
        <w:rPr>
          <w:rFonts w:ascii="David" w:hAnsi="David"/>
          <w:rtl/>
        </w:rPr>
        <w:tab/>
      </w:r>
      <w:r w:rsidR="00B114FF" w:rsidRPr="00C10B54">
        <w:rPr>
          <w:rFonts w:ascii="David" w:hAnsi="David" w:hint="cs"/>
          <w:rtl/>
        </w:rPr>
        <w:t>"</w:t>
      </w:r>
      <w:r w:rsidR="00B114FF" w:rsidRPr="00C10B54">
        <w:rPr>
          <w:rFonts w:ascii="David" w:hAnsi="David"/>
          <w:b/>
          <w:bCs/>
          <w:rtl/>
        </w:rPr>
        <w:t>בעל דין אינו רשאי להגיש ראיות חדשות לבית המשפט שלערעור; ואולם בית המשפט רשאי להתיר הגשת ראיות חדשות אם שוכנע שהן עשויות להשפיע על תוצאות הערעור וכן שמתקיים אחד מאלה</w:t>
      </w:r>
      <w:r w:rsidR="00B114FF" w:rsidRPr="00C10B54">
        <w:rPr>
          <w:rFonts w:ascii="David" w:hAnsi="David" w:hint="cs"/>
          <w:b/>
          <w:bCs/>
          <w:rtl/>
        </w:rPr>
        <w:t xml:space="preserve">: 1. </w:t>
      </w:r>
      <w:r w:rsidR="00B114FF" w:rsidRPr="00C10B54">
        <w:rPr>
          <w:rFonts w:ascii="David" w:hAnsi="David"/>
          <w:b/>
          <w:bCs/>
          <w:rtl/>
        </w:rPr>
        <w:t>לא היה ניתן לאתר את הראיה בשקידה סבירה ולהגישה בערכאה הראשונה במועד המתאים לכך</w:t>
      </w:r>
      <w:r w:rsidR="00B114FF" w:rsidRPr="00C10B54">
        <w:rPr>
          <w:rFonts w:ascii="David" w:hAnsi="David"/>
          <w:b/>
          <w:bCs/>
        </w:rPr>
        <w:t>;</w:t>
      </w:r>
      <w:r w:rsidR="00B114FF" w:rsidRPr="00C10B54">
        <w:rPr>
          <w:rFonts w:ascii="David" w:hAnsi="David" w:hint="cs"/>
          <w:b/>
          <w:bCs/>
          <w:rtl/>
        </w:rPr>
        <w:t xml:space="preserve"> 2. </w:t>
      </w:r>
      <w:r w:rsidR="00B114FF" w:rsidRPr="00C10B54">
        <w:rPr>
          <w:rFonts w:ascii="David" w:hAnsi="David"/>
          <w:b/>
          <w:bCs/>
          <w:rtl/>
        </w:rPr>
        <w:t>הגשת הראיה דרושה כדי למנוע עיוות דין</w:t>
      </w:r>
      <w:r w:rsidR="00B114FF" w:rsidRPr="00C10B54">
        <w:rPr>
          <w:rFonts w:ascii="David" w:hAnsi="David" w:hint="cs"/>
          <w:b/>
          <w:bCs/>
          <w:rtl/>
        </w:rPr>
        <w:t xml:space="preserve">". </w:t>
      </w:r>
    </w:p>
    <w:p w:rsidR="00B114FF" w:rsidRPr="00DD7A9F" w:rsidRDefault="00B114FF" w:rsidP="00EA4D93">
      <w:pPr>
        <w:pStyle w:val="ad"/>
        <w:numPr>
          <w:ilvl w:val="0"/>
          <w:numId w:val="1"/>
        </w:numPr>
        <w:spacing w:after="120" w:line="360" w:lineRule="auto"/>
        <w:ind w:left="0" w:hanging="567"/>
        <w:contextualSpacing w:val="0"/>
        <w:jc w:val="both"/>
        <w:rPr>
          <w:rFonts w:ascii="David" w:hAnsi="David"/>
          <w:rtl/>
        </w:rPr>
      </w:pPr>
      <w:r w:rsidRPr="00DD7A9F">
        <w:rPr>
          <w:rFonts w:hint="cs"/>
          <w:color w:val="000000"/>
          <w:rtl/>
        </w:rPr>
        <w:t xml:space="preserve">בבחינת הדברים שוכנעתי כי </w:t>
      </w:r>
      <w:r w:rsidRPr="00DD7A9F">
        <w:rPr>
          <w:rFonts w:hint="eastAsia"/>
          <w:color w:val="000000"/>
          <w:rtl/>
        </w:rPr>
        <w:t>דין</w:t>
      </w:r>
      <w:r w:rsidRPr="00DD7A9F">
        <w:rPr>
          <w:color w:val="000000"/>
          <w:rtl/>
        </w:rPr>
        <w:t xml:space="preserve"> </w:t>
      </w:r>
      <w:r w:rsidRPr="00DD7A9F">
        <w:rPr>
          <w:rFonts w:hint="eastAsia"/>
          <w:color w:val="000000"/>
          <w:rtl/>
        </w:rPr>
        <w:t>הבקשה</w:t>
      </w:r>
      <w:r w:rsidRPr="00DD7A9F">
        <w:rPr>
          <w:color w:val="000000"/>
          <w:rtl/>
        </w:rPr>
        <w:t xml:space="preserve"> </w:t>
      </w:r>
      <w:r w:rsidRPr="00DD7A9F">
        <w:rPr>
          <w:rFonts w:hint="eastAsia"/>
          <w:color w:val="000000"/>
          <w:rtl/>
        </w:rPr>
        <w:t>לצירוף</w:t>
      </w:r>
      <w:r w:rsidRPr="00DD7A9F">
        <w:rPr>
          <w:color w:val="000000"/>
          <w:rtl/>
        </w:rPr>
        <w:t xml:space="preserve"> </w:t>
      </w:r>
      <w:r w:rsidRPr="00DD7A9F">
        <w:rPr>
          <w:rFonts w:hint="eastAsia"/>
          <w:color w:val="000000"/>
          <w:rtl/>
        </w:rPr>
        <w:t>ראיות</w:t>
      </w:r>
      <w:r w:rsidRPr="00DD7A9F">
        <w:rPr>
          <w:color w:val="000000"/>
          <w:rtl/>
        </w:rPr>
        <w:t xml:space="preserve"> </w:t>
      </w:r>
      <w:r w:rsidRPr="00DD7A9F">
        <w:rPr>
          <w:rFonts w:hint="eastAsia"/>
          <w:color w:val="000000"/>
          <w:rtl/>
        </w:rPr>
        <w:t>חדשות</w:t>
      </w:r>
      <w:r w:rsidRPr="00DD7A9F">
        <w:rPr>
          <w:color w:val="000000"/>
          <w:rtl/>
        </w:rPr>
        <w:t xml:space="preserve"> </w:t>
      </w:r>
      <w:r w:rsidRPr="00DD7A9F">
        <w:rPr>
          <w:rFonts w:hint="eastAsia"/>
          <w:color w:val="000000"/>
          <w:rtl/>
        </w:rPr>
        <w:t>להידחות</w:t>
      </w:r>
      <w:r w:rsidRPr="00DD7A9F">
        <w:rPr>
          <w:color w:val="000000"/>
          <w:rtl/>
        </w:rPr>
        <w:t xml:space="preserve">. </w:t>
      </w:r>
    </w:p>
    <w:p w:rsidR="00B114FF" w:rsidRPr="00DD7A9F" w:rsidRDefault="00B114FF" w:rsidP="00C920FC">
      <w:pPr>
        <w:pStyle w:val="ad"/>
        <w:numPr>
          <w:ilvl w:val="0"/>
          <w:numId w:val="1"/>
        </w:numPr>
        <w:spacing w:after="120" w:line="360" w:lineRule="auto"/>
        <w:ind w:left="0" w:hanging="567"/>
        <w:contextualSpacing w:val="0"/>
        <w:jc w:val="both"/>
        <w:rPr>
          <w:rFonts w:ascii="David" w:hAnsi="David"/>
        </w:rPr>
      </w:pPr>
      <w:r w:rsidRPr="00DD7A9F">
        <w:rPr>
          <w:rFonts w:hint="eastAsia"/>
          <w:color w:val="000000"/>
          <w:rtl/>
        </w:rPr>
        <w:t>לא</w:t>
      </w:r>
      <w:r w:rsidRPr="00DD7A9F">
        <w:rPr>
          <w:color w:val="000000"/>
          <w:rtl/>
        </w:rPr>
        <w:t xml:space="preserve"> </w:t>
      </w:r>
      <w:r w:rsidRPr="00DD7A9F">
        <w:rPr>
          <w:rFonts w:hint="eastAsia"/>
          <w:color w:val="000000"/>
          <w:rtl/>
        </w:rPr>
        <w:t>שוכנעתי</w:t>
      </w:r>
      <w:r w:rsidRPr="00DD7A9F">
        <w:rPr>
          <w:color w:val="000000"/>
          <w:rtl/>
        </w:rPr>
        <w:t xml:space="preserve"> </w:t>
      </w:r>
      <w:r w:rsidRPr="00DD7A9F">
        <w:rPr>
          <w:rFonts w:hint="eastAsia"/>
          <w:color w:val="000000"/>
          <w:rtl/>
        </w:rPr>
        <w:t>באופן</w:t>
      </w:r>
      <w:r w:rsidRPr="00DD7A9F">
        <w:rPr>
          <w:color w:val="000000"/>
          <w:rtl/>
        </w:rPr>
        <w:t xml:space="preserve"> </w:t>
      </w:r>
      <w:r w:rsidRPr="00DD7A9F">
        <w:rPr>
          <w:rFonts w:hint="eastAsia"/>
          <w:color w:val="000000"/>
          <w:rtl/>
        </w:rPr>
        <w:t>מספק</w:t>
      </w:r>
      <w:r w:rsidRPr="00DD7A9F">
        <w:rPr>
          <w:color w:val="000000"/>
          <w:rtl/>
        </w:rPr>
        <w:t xml:space="preserve"> </w:t>
      </w:r>
      <w:r w:rsidRPr="00DD7A9F">
        <w:rPr>
          <w:rFonts w:hint="eastAsia"/>
          <w:color w:val="000000"/>
          <w:rtl/>
        </w:rPr>
        <w:t>מדוע</w:t>
      </w:r>
      <w:r w:rsidRPr="00DD7A9F">
        <w:rPr>
          <w:color w:val="000000"/>
          <w:rtl/>
        </w:rPr>
        <w:t xml:space="preserve"> </w:t>
      </w:r>
      <w:r w:rsidRPr="00DD7A9F">
        <w:rPr>
          <w:rFonts w:hint="eastAsia"/>
          <w:color w:val="000000"/>
          <w:rtl/>
        </w:rPr>
        <w:t>לא</w:t>
      </w:r>
      <w:r w:rsidRPr="00DD7A9F">
        <w:rPr>
          <w:color w:val="000000"/>
          <w:rtl/>
        </w:rPr>
        <w:t xml:space="preserve"> </w:t>
      </w:r>
      <w:r w:rsidRPr="00DD7A9F">
        <w:rPr>
          <w:rFonts w:hint="eastAsia"/>
          <w:color w:val="000000"/>
          <w:rtl/>
        </w:rPr>
        <w:t>ניתן</w:t>
      </w:r>
      <w:r w:rsidRPr="00DD7A9F">
        <w:rPr>
          <w:color w:val="000000"/>
          <w:rtl/>
        </w:rPr>
        <w:t xml:space="preserve"> </w:t>
      </w:r>
      <w:r w:rsidRPr="00DD7A9F">
        <w:rPr>
          <w:rFonts w:hint="eastAsia"/>
          <w:color w:val="000000"/>
          <w:rtl/>
        </w:rPr>
        <w:t>היה</w:t>
      </w:r>
      <w:r w:rsidRPr="00DD7A9F">
        <w:rPr>
          <w:color w:val="000000"/>
          <w:rtl/>
        </w:rPr>
        <w:t xml:space="preserve"> </w:t>
      </w:r>
      <w:r w:rsidRPr="00DD7A9F">
        <w:rPr>
          <w:rFonts w:hint="eastAsia"/>
          <w:color w:val="000000"/>
          <w:rtl/>
        </w:rPr>
        <w:t>להגיש</w:t>
      </w:r>
      <w:r w:rsidRPr="00DD7A9F">
        <w:rPr>
          <w:color w:val="000000"/>
          <w:rtl/>
        </w:rPr>
        <w:t xml:space="preserve"> הראיות המבוקשות </w:t>
      </w:r>
      <w:r w:rsidRPr="00DD7A9F">
        <w:rPr>
          <w:rFonts w:hint="eastAsia"/>
          <w:color w:val="000000"/>
          <w:rtl/>
        </w:rPr>
        <w:t>לפני</w:t>
      </w:r>
      <w:r w:rsidRPr="00DD7A9F">
        <w:rPr>
          <w:color w:val="000000"/>
          <w:rtl/>
        </w:rPr>
        <w:t xml:space="preserve"> </w:t>
      </w:r>
      <w:r w:rsidRPr="00DD7A9F">
        <w:rPr>
          <w:rFonts w:hint="eastAsia"/>
          <w:color w:val="000000"/>
          <w:rtl/>
        </w:rPr>
        <w:t>בית</w:t>
      </w:r>
      <w:r w:rsidRPr="00DD7A9F">
        <w:rPr>
          <w:color w:val="000000"/>
          <w:rtl/>
        </w:rPr>
        <w:t xml:space="preserve"> </w:t>
      </w:r>
      <w:r w:rsidRPr="00DD7A9F">
        <w:rPr>
          <w:rFonts w:hint="eastAsia"/>
          <w:color w:val="000000"/>
          <w:rtl/>
        </w:rPr>
        <w:t>משפט</w:t>
      </w:r>
      <w:r w:rsidRPr="00DD7A9F">
        <w:rPr>
          <w:color w:val="000000"/>
          <w:rtl/>
        </w:rPr>
        <w:t xml:space="preserve"> </w:t>
      </w:r>
      <w:r w:rsidRPr="00DD7A9F">
        <w:rPr>
          <w:rFonts w:hint="eastAsia"/>
          <w:color w:val="000000"/>
          <w:rtl/>
        </w:rPr>
        <w:t>קמא</w:t>
      </w:r>
      <w:r w:rsidRPr="00DD7A9F">
        <w:rPr>
          <w:color w:val="000000"/>
          <w:rtl/>
        </w:rPr>
        <w:t xml:space="preserve">. נימוק זה מתייחס להעתק אישור תשלום הארנונה, </w:t>
      </w:r>
      <w:r w:rsidRPr="00DD7A9F">
        <w:rPr>
          <w:rFonts w:ascii="David" w:hAnsi="David" w:hint="eastAsia"/>
          <w:rtl/>
        </w:rPr>
        <w:t>העתק</w:t>
      </w:r>
      <w:r w:rsidRPr="00DD7A9F">
        <w:rPr>
          <w:rFonts w:ascii="David" w:hAnsi="David"/>
          <w:rtl/>
        </w:rPr>
        <w:t xml:space="preserve"> אישור תשלום המערער קנסות תיק תכנון בניה, העתק דוחות </w:t>
      </w:r>
      <w:r w:rsidRPr="00DD7A9F">
        <w:rPr>
          <w:rFonts w:ascii="David" w:hAnsi="David"/>
        </w:rPr>
        <w:t>ESNA</w:t>
      </w:r>
      <w:r w:rsidRPr="00DD7A9F">
        <w:rPr>
          <w:rFonts w:ascii="David" w:hAnsi="David"/>
          <w:rtl/>
        </w:rPr>
        <w:t xml:space="preserve"> וצילומי המחאות שמסר המערער למשיב. </w:t>
      </w:r>
      <w:r w:rsidRPr="00DD7A9F">
        <w:rPr>
          <w:rFonts w:ascii="David" w:hAnsi="David" w:hint="eastAsia"/>
          <w:rtl/>
        </w:rPr>
        <w:t>כל</w:t>
      </w:r>
      <w:r w:rsidRPr="00DD7A9F">
        <w:rPr>
          <w:rFonts w:ascii="David" w:hAnsi="David"/>
          <w:rtl/>
        </w:rPr>
        <w:t xml:space="preserve"> המסמכים </w:t>
      </w:r>
      <w:r w:rsidRPr="00DD7A9F">
        <w:rPr>
          <w:rFonts w:ascii="David" w:hAnsi="David" w:hint="cs"/>
          <w:rtl/>
        </w:rPr>
        <w:t xml:space="preserve">האמורים </w:t>
      </w:r>
      <w:r w:rsidRPr="00DD7A9F">
        <w:rPr>
          <w:rFonts w:ascii="David" w:hAnsi="David"/>
          <w:rtl/>
        </w:rPr>
        <w:t>הינ</w:t>
      </w:r>
      <w:r w:rsidRPr="00DD7A9F">
        <w:rPr>
          <w:rFonts w:ascii="David" w:hAnsi="David" w:hint="cs"/>
          <w:rtl/>
        </w:rPr>
        <w:t xml:space="preserve">ם </w:t>
      </w:r>
      <w:r w:rsidRPr="00DD7A9F">
        <w:rPr>
          <w:rFonts w:ascii="David" w:hAnsi="David"/>
          <w:rtl/>
        </w:rPr>
        <w:t>ראיות שהיו קיימות טרם ניתן פסק הדין קמא. טענת ב"כ המערער</w:t>
      </w:r>
      <w:r w:rsidRPr="00DD7A9F">
        <w:rPr>
          <w:rFonts w:ascii="David" w:hAnsi="David" w:hint="cs"/>
          <w:rtl/>
        </w:rPr>
        <w:t xml:space="preserve"> כי יש להתיר צירוף הראיות מכיוון שבית משפט קמא אפשר למשיב להגיש ראיות במהלך ישיבת ההוכחות ו/או לצורך הוכחת הטענה כי המערער שילם את הקנסות בניגוד לטענת המשיב ו/או מאחר והעסק היה רשום על שם האח ולא הייתה למערער גישה לקבלם, אלא באמצעות האח ו/או בשל מחדל בייצוג (</w:t>
      </w:r>
      <w:r w:rsidRPr="00DD7A9F">
        <w:rPr>
          <w:rFonts w:ascii="David" w:hAnsi="David"/>
          <w:rtl/>
        </w:rPr>
        <w:t>"שלא ייצגתי בתיק הזה"</w:t>
      </w:r>
      <w:r w:rsidRPr="00DD7A9F">
        <w:rPr>
          <w:rFonts w:ascii="David" w:hAnsi="David" w:hint="cs"/>
          <w:rtl/>
        </w:rPr>
        <w:t xml:space="preserve">,  </w:t>
      </w:r>
      <w:r w:rsidRPr="00DD7A9F">
        <w:rPr>
          <w:rFonts w:hint="eastAsia"/>
          <w:color w:val="000000"/>
          <w:rtl/>
        </w:rPr>
        <w:t>ראו</w:t>
      </w:r>
      <w:r w:rsidRPr="00DD7A9F">
        <w:rPr>
          <w:color w:val="000000"/>
          <w:rtl/>
        </w:rPr>
        <w:t xml:space="preserve"> </w:t>
      </w:r>
      <w:r w:rsidRPr="00DD7A9F">
        <w:rPr>
          <w:rFonts w:hint="eastAsia"/>
          <w:color w:val="000000"/>
          <w:rtl/>
        </w:rPr>
        <w:t>שורה</w:t>
      </w:r>
      <w:r w:rsidRPr="00DD7A9F">
        <w:rPr>
          <w:color w:val="000000"/>
          <w:rtl/>
        </w:rPr>
        <w:t xml:space="preserve"> 20 </w:t>
      </w:r>
      <w:r w:rsidRPr="00DD7A9F">
        <w:rPr>
          <w:rFonts w:hint="eastAsia"/>
          <w:color w:val="000000"/>
          <w:rtl/>
        </w:rPr>
        <w:t>ל</w:t>
      </w:r>
      <w:r w:rsidRPr="00DD7A9F">
        <w:rPr>
          <w:color w:val="000000"/>
          <w:rtl/>
        </w:rPr>
        <w:t>דיון מיום 16.09.2024) אינ</w:t>
      </w:r>
      <w:r w:rsidRPr="00DD7A9F">
        <w:rPr>
          <w:rFonts w:hint="eastAsia"/>
          <w:color w:val="000000"/>
          <w:rtl/>
        </w:rPr>
        <w:t>ן</w:t>
      </w:r>
      <w:r w:rsidRPr="00DD7A9F">
        <w:rPr>
          <w:color w:val="000000"/>
          <w:rtl/>
        </w:rPr>
        <w:t xml:space="preserve"> בגדר עילה מספקת לקבלת הבקשה. </w:t>
      </w:r>
    </w:p>
    <w:p w:rsidR="00B114FF" w:rsidRDefault="00B114FF" w:rsidP="00D62788">
      <w:pPr>
        <w:pStyle w:val="ad"/>
        <w:numPr>
          <w:ilvl w:val="0"/>
          <w:numId w:val="1"/>
        </w:numPr>
        <w:spacing w:after="120" w:line="360" w:lineRule="auto"/>
        <w:ind w:left="0" w:hanging="567"/>
        <w:contextualSpacing w:val="0"/>
        <w:jc w:val="both"/>
        <w:rPr>
          <w:rtl/>
        </w:rPr>
      </w:pPr>
      <w:r w:rsidRPr="001C79D6">
        <w:rPr>
          <w:rFonts w:hint="eastAsia"/>
          <w:rtl/>
        </w:rPr>
        <w:lastRenderedPageBreak/>
        <w:t>בנוסף</w:t>
      </w:r>
      <w:r w:rsidRPr="001C79D6">
        <w:rPr>
          <w:rtl/>
        </w:rPr>
        <w:t xml:space="preserve">, </w:t>
      </w:r>
      <w:r w:rsidRPr="00E0236E">
        <w:rPr>
          <w:rFonts w:hint="eastAsia"/>
          <w:rtl/>
        </w:rPr>
        <w:t>וזה</w:t>
      </w:r>
      <w:r w:rsidRPr="00E0236E">
        <w:rPr>
          <w:rtl/>
        </w:rPr>
        <w:t xml:space="preserve"> </w:t>
      </w:r>
      <w:r w:rsidRPr="00E0236E">
        <w:rPr>
          <w:rFonts w:hint="eastAsia"/>
          <w:rtl/>
        </w:rPr>
        <w:t>העיקר</w:t>
      </w:r>
      <w:r w:rsidRPr="001C79D6">
        <w:rPr>
          <w:rtl/>
        </w:rPr>
        <w:t xml:space="preserve">, </w:t>
      </w:r>
      <w:r w:rsidRPr="001C79D6">
        <w:rPr>
          <w:rFonts w:hint="eastAsia"/>
          <w:rtl/>
        </w:rPr>
        <w:t>הראיות</w:t>
      </w:r>
      <w:r w:rsidRPr="001C79D6">
        <w:rPr>
          <w:rtl/>
        </w:rPr>
        <w:t xml:space="preserve"> </w:t>
      </w:r>
      <w:r w:rsidRPr="001C79D6">
        <w:rPr>
          <w:rFonts w:hint="eastAsia"/>
          <w:rtl/>
        </w:rPr>
        <w:t>אינן</w:t>
      </w:r>
      <w:r w:rsidRPr="001C79D6">
        <w:rPr>
          <w:rtl/>
        </w:rPr>
        <w:t xml:space="preserve"> נחוצות לצורך מניעת עיוות דין. </w:t>
      </w:r>
      <w:r w:rsidRPr="001C79D6">
        <w:rPr>
          <w:rFonts w:hint="eastAsia"/>
          <w:rtl/>
        </w:rPr>
        <w:t>אף</w:t>
      </w:r>
      <w:r w:rsidRPr="001C79D6">
        <w:rPr>
          <w:rtl/>
        </w:rPr>
        <w:t xml:space="preserve"> </w:t>
      </w:r>
      <w:r w:rsidRPr="001C79D6">
        <w:rPr>
          <w:rFonts w:hint="eastAsia"/>
          <w:rtl/>
        </w:rPr>
        <w:t>לא</w:t>
      </w:r>
      <w:r w:rsidRPr="001C79D6">
        <w:rPr>
          <w:rtl/>
        </w:rPr>
        <w:t xml:space="preserve"> </w:t>
      </w:r>
      <w:r w:rsidRPr="001C79D6">
        <w:rPr>
          <w:rFonts w:hint="eastAsia"/>
          <w:rtl/>
        </w:rPr>
        <w:t>אחד</w:t>
      </w:r>
      <w:r w:rsidRPr="001C79D6">
        <w:rPr>
          <w:rtl/>
        </w:rPr>
        <w:t xml:space="preserve"> </w:t>
      </w:r>
      <w:r w:rsidRPr="001C79D6">
        <w:rPr>
          <w:rFonts w:hint="eastAsia"/>
          <w:rtl/>
        </w:rPr>
        <w:t>מהמסמכים</w:t>
      </w:r>
      <w:r w:rsidRPr="001C79D6">
        <w:rPr>
          <w:rtl/>
        </w:rPr>
        <w:t xml:space="preserve"> </w:t>
      </w:r>
      <w:r w:rsidRPr="001C79D6">
        <w:rPr>
          <w:rFonts w:hint="eastAsia"/>
          <w:rtl/>
        </w:rPr>
        <w:t>מוכיח</w:t>
      </w:r>
      <w:r w:rsidRPr="001C79D6">
        <w:rPr>
          <w:rtl/>
        </w:rPr>
        <w:t xml:space="preserve"> הסכמות </w:t>
      </w:r>
      <w:r w:rsidRPr="001C79D6">
        <w:rPr>
          <w:rFonts w:hint="eastAsia"/>
          <w:rtl/>
        </w:rPr>
        <w:t>קנייניות</w:t>
      </w:r>
      <w:r>
        <w:rPr>
          <w:rFonts w:hint="cs"/>
          <w:rtl/>
        </w:rPr>
        <w:t xml:space="preserve"> ו/או</w:t>
      </w:r>
      <w:r w:rsidRPr="001C79D6">
        <w:rPr>
          <w:rtl/>
        </w:rPr>
        <w:t xml:space="preserve"> </w:t>
      </w:r>
      <w:r w:rsidRPr="001C79D6">
        <w:rPr>
          <w:rFonts w:hint="eastAsia"/>
          <w:rtl/>
        </w:rPr>
        <w:t>חוזיות</w:t>
      </w:r>
      <w:r w:rsidRPr="001C79D6">
        <w:rPr>
          <w:rtl/>
        </w:rPr>
        <w:t xml:space="preserve"> </w:t>
      </w:r>
      <w:r w:rsidRPr="001C79D6">
        <w:rPr>
          <w:rFonts w:hint="eastAsia"/>
          <w:rtl/>
        </w:rPr>
        <w:t>בין</w:t>
      </w:r>
      <w:r w:rsidRPr="001C79D6">
        <w:rPr>
          <w:rtl/>
        </w:rPr>
        <w:t xml:space="preserve"> </w:t>
      </w:r>
      <w:r w:rsidRPr="001C79D6">
        <w:rPr>
          <w:rFonts w:hint="eastAsia"/>
          <w:rtl/>
        </w:rPr>
        <w:t>הצדדים</w:t>
      </w:r>
      <w:r w:rsidRPr="001C79D6">
        <w:rPr>
          <w:rtl/>
        </w:rPr>
        <w:t xml:space="preserve"> ביחס למקרקעין </w:t>
      </w:r>
      <w:r w:rsidRPr="00E0236E">
        <w:rPr>
          <w:rFonts w:hint="eastAsia"/>
          <w:rtl/>
        </w:rPr>
        <w:t>ו</w:t>
      </w:r>
      <w:r w:rsidRPr="00E0236E">
        <w:rPr>
          <w:rtl/>
        </w:rPr>
        <w:t xml:space="preserve">/או </w:t>
      </w:r>
      <w:r w:rsidRPr="00E0236E">
        <w:rPr>
          <w:rFonts w:hint="eastAsia"/>
          <w:rtl/>
        </w:rPr>
        <w:t>לבית</w:t>
      </w:r>
      <w:r w:rsidRPr="001C79D6">
        <w:rPr>
          <w:rtl/>
        </w:rPr>
        <w:t xml:space="preserve">. </w:t>
      </w:r>
      <w:r w:rsidRPr="001C79D6">
        <w:rPr>
          <w:rFonts w:hint="eastAsia"/>
          <w:rtl/>
        </w:rPr>
        <w:t>אין</w:t>
      </w:r>
      <w:r w:rsidRPr="001C79D6">
        <w:rPr>
          <w:rtl/>
        </w:rPr>
        <w:t xml:space="preserve"> מדובר במסמכים מכוננים אשר </w:t>
      </w:r>
      <w:r w:rsidRPr="001C79D6">
        <w:rPr>
          <w:rFonts w:hint="eastAsia"/>
          <w:rtl/>
        </w:rPr>
        <w:t>בכוחם</w:t>
      </w:r>
      <w:r w:rsidRPr="001C79D6">
        <w:rPr>
          <w:rtl/>
        </w:rPr>
        <w:t xml:space="preserve"> </w:t>
      </w:r>
      <w:r w:rsidRPr="001C79D6">
        <w:rPr>
          <w:rFonts w:hint="eastAsia"/>
          <w:rtl/>
        </w:rPr>
        <w:t>להוכיח</w:t>
      </w:r>
      <w:r w:rsidRPr="001C79D6">
        <w:rPr>
          <w:rtl/>
        </w:rPr>
        <w:t xml:space="preserve"> בעלות על המקרקעין, </w:t>
      </w:r>
      <w:r>
        <w:rPr>
          <w:rFonts w:hint="cs"/>
          <w:rtl/>
        </w:rPr>
        <w:t xml:space="preserve">או </w:t>
      </w:r>
      <w:r w:rsidRPr="001C79D6">
        <w:rPr>
          <w:rFonts w:hint="eastAsia"/>
          <w:rtl/>
        </w:rPr>
        <w:t>שיש</w:t>
      </w:r>
      <w:r w:rsidRPr="001C79D6">
        <w:rPr>
          <w:rtl/>
        </w:rPr>
        <w:t xml:space="preserve"> בהם ללמד </w:t>
      </w:r>
      <w:r w:rsidRPr="001C79D6">
        <w:rPr>
          <w:rFonts w:hint="eastAsia"/>
          <w:rtl/>
        </w:rPr>
        <w:t>על</w:t>
      </w:r>
      <w:r w:rsidRPr="001C79D6">
        <w:rPr>
          <w:rtl/>
        </w:rPr>
        <w:t xml:space="preserve"> הסכמה למתן </w:t>
      </w:r>
      <w:r w:rsidRPr="001C79D6">
        <w:rPr>
          <w:rFonts w:hint="eastAsia"/>
          <w:rtl/>
        </w:rPr>
        <w:t>רישיון</w:t>
      </w:r>
      <w:r w:rsidRPr="001C79D6">
        <w:rPr>
          <w:rtl/>
        </w:rPr>
        <w:t xml:space="preserve"> </w:t>
      </w:r>
      <w:r w:rsidRPr="001C79D6">
        <w:rPr>
          <w:rFonts w:hint="eastAsia"/>
          <w:rtl/>
        </w:rPr>
        <w:t>בלתי</w:t>
      </w:r>
      <w:r w:rsidRPr="001C79D6">
        <w:rPr>
          <w:rtl/>
        </w:rPr>
        <w:t xml:space="preserve"> </w:t>
      </w:r>
      <w:r w:rsidRPr="001C79D6">
        <w:rPr>
          <w:rFonts w:hint="eastAsia"/>
          <w:rtl/>
        </w:rPr>
        <w:t>הדיר</w:t>
      </w:r>
      <w:r w:rsidRPr="001C79D6">
        <w:rPr>
          <w:rtl/>
        </w:rPr>
        <w:t xml:space="preserve">. </w:t>
      </w:r>
      <w:r>
        <w:rPr>
          <w:rFonts w:hint="cs"/>
          <w:rtl/>
        </w:rPr>
        <w:t>[</w:t>
      </w:r>
      <w:r w:rsidRPr="001C79D6">
        <w:rPr>
          <w:rtl/>
        </w:rPr>
        <w:t xml:space="preserve">להרחבה בנושא עיינו ברע"א 985/24 </w:t>
      </w:r>
      <w:r w:rsidRPr="005925F3">
        <w:rPr>
          <w:b/>
          <w:bCs/>
          <w:rtl/>
        </w:rPr>
        <w:t>מאיר אליהו נ' נציגות הבית המשותף ברח' צבי שץ 16-14 חולון</w:t>
      </w:r>
      <w:r w:rsidRPr="001C79D6">
        <w:rPr>
          <w:rtl/>
        </w:rPr>
        <w:t xml:space="preserve"> (נבו 26.3.2024)</w:t>
      </w:r>
      <w:r>
        <w:rPr>
          <w:rFonts w:hint="cs"/>
          <w:rtl/>
        </w:rPr>
        <w:t>]</w:t>
      </w:r>
      <w:r w:rsidRPr="001C79D6">
        <w:rPr>
          <w:rtl/>
        </w:rPr>
        <w:t>.</w:t>
      </w:r>
    </w:p>
    <w:p w:rsidR="00B114FF" w:rsidRDefault="00DD7A9F" w:rsidP="00DD7A9F">
      <w:pPr>
        <w:pStyle w:val="ad"/>
        <w:spacing w:after="120" w:line="360" w:lineRule="auto"/>
        <w:ind w:left="0" w:hanging="567"/>
        <w:contextualSpacing w:val="0"/>
        <w:jc w:val="both"/>
        <w:rPr>
          <w:rFonts w:ascii="David" w:hAnsi="David"/>
          <w:rtl/>
        </w:rPr>
      </w:pPr>
      <w:r>
        <w:rPr>
          <w:rtl/>
        </w:rPr>
        <w:tab/>
      </w:r>
      <w:r w:rsidR="00B114FF" w:rsidRPr="001C79D6">
        <w:rPr>
          <w:rFonts w:hint="eastAsia"/>
          <w:rtl/>
        </w:rPr>
        <w:t>ראיות</w:t>
      </w:r>
      <w:r w:rsidR="00B114FF" w:rsidRPr="001C79D6">
        <w:rPr>
          <w:rtl/>
        </w:rPr>
        <w:t xml:space="preserve"> אלו </w:t>
      </w:r>
      <w:r w:rsidR="00B114FF" w:rsidRPr="001C79D6">
        <w:rPr>
          <w:rFonts w:hint="eastAsia"/>
          <w:rtl/>
        </w:rPr>
        <w:t>קשורות</w:t>
      </w:r>
      <w:r w:rsidR="00B114FF" w:rsidRPr="001C79D6">
        <w:rPr>
          <w:rtl/>
        </w:rPr>
        <w:t xml:space="preserve"> </w:t>
      </w:r>
      <w:r w:rsidR="00B114FF" w:rsidRPr="001C79D6">
        <w:rPr>
          <w:rFonts w:hint="eastAsia"/>
          <w:rtl/>
        </w:rPr>
        <w:t>לתשלומים</w:t>
      </w:r>
      <w:r w:rsidR="00B114FF" w:rsidRPr="001C79D6">
        <w:rPr>
          <w:rtl/>
        </w:rPr>
        <w:t xml:space="preserve"> </w:t>
      </w:r>
      <w:r w:rsidR="00B114FF" w:rsidRPr="001C79D6">
        <w:rPr>
          <w:rFonts w:hint="eastAsia"/>
          <w:rtl/>
        </w:rPr>
        <w:t>ששילמו</w:t>
      </w:r>
      <w:r w:rsidR="00B114FF" w:rsidRPr="001C79D6">
        <w:rPr>
          <w:rtl/>
        </w:rPr>
        <w:t xml:space="preserve"> לכאורה </w:t>
      </w:r>
      <w:r w:rsidR="00B114FF" w:rsidRPr="001C79D6">
        <w:rPr>
          <w:rFonts w:hint="eastAsia"/>
          <w:rtl/>
        </w:rPr>
        <w:t>המערערים</w:t>
      </w:r>
      <w:r w:rsidR="00B114FF" w:rsidRPr="001C79D6">
        <w:rPr>
          <w:rtl/>
        </w:rPr>
        <w:t xml:space="preserve"> </w:t>
      </w:r>
      <w:r w:rsidR="00B114FF" w:rsidRPr="001C79D6">
        <w:rPr>
          <w:rFonts w:hint="eastAsia"/>
          <w:rtl/>
        </w:rPr>
        <w:t>בגין</w:t>
      </w:r>
      <w:r w:rsidR="00B114FF" w:rsidRPr="001C79D6">
        <w:rPr>
          <w:rtl/>
        </w:rPr>
        <w:t xml:space="preserve"> </w:t>
      </w:r>
      <w:r w:rsidR="00B114FF" w:rsidRPr="001C79D6">
        <w:rPr>
          <w:rFonts w:hint="eastAsia"/>
          <w:rtl/>
        </w:rPr>
        <w:t>הבית</w:t>
      </w:r>
      <w:r w:rsidR="00B114FF" w:rsidRPr="001C79D6">
        <w:rPr>
          <w:rtl/>
        </w:rPr>
        <w:t xml:space="preserve"> ו/או השבחתו ולעניין זה קבע בית משפט מפורשות כי אין הוא מתעלם מטענות המערערים לעניין ההשקעות וההשבחות וכי קיים קושי לומר שהמערערים כלל לא השקיעו בבית במהלך תקופת הנישואין ו/או השביחו את הבית (ראו לעניין זה סעיפים 40-41 לפסק הדין קמא).</w:t>
      </w:r>
    </w:p>
    <w:p w:rsidR="00B114FF" w:rsidRDefault="00B114FF" w:rsidP="002D2B3B">
      <w:pPr>
        <w:pStyle w:val="ad"/>
        <w:numPr>
          <w:ilvl w:val="0"/>
          <w:numId w:val="1"/>
        </w:numPr>
        <w:spacing w:after="120" w:line="360" w:lineRule="auto"/>
        <w:ind w:left="0" w:hanging="567"/>
        <w:contextualSpacing w:val="0"/>
        <w:jc w:val="both"/>
        <w:rPr>
          <w:rFonts w:ascii="David" w:hAnsi="David"/>
        </w:rPr>
      </w:pPr>
      <w:r w:rsidRPr="00D40AFA">
        <w:rPr>
          <w:rFonts w:ascii="David" w:hAnsi="David" w:hint="cs"/>
          <w:rtl/>
        </w:rPr>
        <w:t>יתרה מזו,  בית משפט קמא המליץ למערערים להגיש תביעה להשבת השקעותיהם וההשבחות שנעשו לטענתם על ידם ואף קבע כי מסקנותיו בפסק דין זה לא יהוו מעשה בית דין בתבי</w:t>
      </w:r>
      <w:r>
        <w:rPr>
          <w:rFonts w:ascii="David" w:hAnsi="David" w:hint="cs"/>
          <w:rtl/>
        </w:rPr>
        <w:t>עה הרכושית להשבת השקעות והשבחות.</w:t>
      </w:r>
    </w:p>
    <w:p w:rsidR="00B114FF" w:rsidRDefault="00DD7A9F" w:rsidP="00DD7A9F">
      <w:pPr>
        <w:pStyle w:val="ad"/>
        <w:spacing w:after="120" w:line="360" w:lineRule="auto"/>
        <w:ind w:left="0" w:hanging="567"/>
        <w:contextualSpacing w:val="0"/>
        <w:jc w:val="both"/>
        <w:rPr>
          <w:rFonts w:ascii="David" w:hAnsi="David"/>
        </w:rPr>
      </w:pPr>
      <w:r w:rsidRPr="00DD7A9F">
        <w:rPr>
          <w:rFonts w:ascii="David" w:hAnsi="David"/>
          <w:rtl/>
        </w:rPr>
        <w:tab/>
      </w:r>
      <w:r w:rsidR="00B114FF">
        <w:rPr>
          <w:rFonts w:ascii="David" w:hAnsi="David" w:hint="cs"/>
          <w:u w:val="single"/>
          <w:rtl/>
        </w:rPr>
        <w:t>בענין זה</w:t>
      </w:r>
      <w:r w:rsidR="00B114FF" w:rsidRPr="00B52C5F">
        <w:rPr>
          <w:rFonts w:ascii="David" w:hAnsi="David" w:hint="cs"/>
          <w:u w:val="single"/>
          <w:rtl/>
        </w:rPr>
        <w:t xml:space="preserve"> נקבע בסעיף 71 לפסק הדין קמא, כדלקמן</w:t>
      </w:r>
      <w:r w:rsidR="00B114FF" w:rsidRPr="00D40AFA">
        <w:rPr>
          <w:rFonts w:ascii="David" w:hAnsi="David" w:hint="cs"/>
          <w:rtl/>
        </w:rPr>
        <w:t xml:space="preserve">: </w:t>
      </w:r>
    </w:p>
    <w:p w:rsidR="00B114FF" w:rsidRPr="0064130B" w:rsidRDefault="00DD7A9F" w:rsidP="005925F3">
      <w:pPr>
        <w:pStyle w:val="ad"/>
        <w:spacing w:after="120" w:line="360" w:lineRule="auto"/>
        <w:ind w:left="850" w:right="1134" w:hanging="567"/>
        <w:contextualSpacing w:val="0"/>
        <w:jc w:val="both"/>
        <w:rPr>
          <w:rFonts w:ascii="Arial" w:hAnsi="Arial"/>
          <w:color w:val="000000" w:themeColor="text1"/>
          <w:rtl/>
        </w:rPr>
      </w:pPr>
      <w:r>
        <w:rPr>
          <w:rFonts w:ascii="David" w:hAnsi="David"/>
          <w:rtl/>
        </w:rPr>
        <w:tab/>
      </w:r>
      <w:r w:rsidR="00B114FF">
        <w:rPr>
          <w:rFonts w:ascii="David" w:hAnsi="David" w:hint="cs"/>
          <w:rtl/>
        </w:rPr>
        <w:t>"</w:t>
      </w:r>
      <w:r w:rsidR="00B114FF" w:rsidRPr="0064130B">
        <w:rPr>
          <w:rFonts w:ascii="David" w:hAnsi="David" w:hint="cs"/>
          <w:b/>
          <w:bCs/>
          <w:rtl/>
        </w:rPr>
        <w:t>71.</w:t>
      </w:r>
      <w:r w:rsidR="00B114FF">
        <w:rPr>
          <w:rFonts w:ascii="David" w:hAnsi="David" w:hint="cs"/>
          <w:rtl/>
        </w:rPr>
        <w:t xml:space="preserve"> </w:t>
      </w:r>
      <w:r w:rsidR="00B114FF" w:rsidRPr="0011458E">
        <w:rPr>
          <w:rFonts w:ascii="Arial" w:hAnsi="Arial"/>
          <w:b/>
          <w:bCs/>
          <w:rtl/>
        </w:rPr>
        <w:t xml:space="preserve">על אף האמור לעיל, וחרף מחדלי הנתבעים, על מנת לתת לנתבעים את יומם בבית המשפט ובשים לב למסקנות אליהן הגעתי ולתוצאות פסק הדין, פסק דין זה אינו מהווה מעשה בי-דין בפני הנתבעים בכל הנוגע להוכחת טענותיהם ביחס להשקעות / ההשבחות הנטענות. </w:t>
      </w:r>
      <w:r w:rsidR="00B114FF" w:rsidRPr="0011458E">
        <w:rPr>
          <w:rFonts w:ascii="Arial" w:hAnsi="Arial"/>
          <w:b/>
          <w:bCs/>
          <w:color w:val="000000" w:themeColor="text1"/>
          <w:u w:val="single"/>
          <w:rtl/>
        </w:rPr>
        <w:t>בעניין זה, על הנתבעים לפעול בהתאם ולנקוט בהליכים המשפטיים המתאימים כפי שימצאו לנכון לצורך מיצוי זכויותיהם</w:t>
      </w:r>
      <w:r w:rsidR="00B114FF">
        <w:rPr>
          <w:rFonts w:ascii="Arial" w:hAnsi="Arial" w:hint="cs"/>
          <w:b/>
          <w:bCs/>
          <w:color w:val="000000" w:themeColor="text1"/>
          <w:u w:val="single"/>
          <w:rtl/>
        </w:rPr>
        <w:t>"</w:t>
      </w:r>
      <w:r w:rsidR="00B114FF" w:rsidRPr="0011458E">
        <w:rPr>
          <w:rFonts w:ascii="Arial" w:hAnsi="Arial"/>
          <w:b/>
          <w:bCs/>
          <w:color w:val="000000" w:themeColor="text1"/>
          <w:rtl/>
        </w:rPr>
        <w:t xml:space="preserve">. </w:t>
      </w:r>
      <w:r w:rsidR="00B114FF" w:rsidRPr="0064130B">
        <w:rPr>
          <w:rFonts w:ascii="Arial" w:hAnsi="Arial" w:hint="cs"/>
          <w:color w:val="000000" w:themeColor="text1"/>
          <w:rtl/>
        </w:rPr>
        <w:t xml:space="preserve">(ההדגשות הינן במקור </w:t>
      </w:r>
      <w:r w:rsidR="00B114FF" w:rsidRPr="0064130B">
        <w:rPr>
          <w:rFonts w:ascii="Arial" w:hAnsi="Arial"/>
          <w:color w:val="000000" w:themeColor="text1"/>
          <w:rtl/>
        </w:rPr>
        <w:t>–</w:t>
      </w:r>
      <w:r w:rsidR="00B114FF" w:rsidRPr="0064130B">
        <w:rPr>
          <w:rFonts w:ascii="Arial" w:hAnsi="Arial" w:hint="cs"/>
          <w:color w:val="000000" w:themeColor="text1"/>
          <w:rtl/>
        </w:rPr>
        <w:t xml:space="preserve"> א.א.)</w:t>
      </w:r>
    </w:p>
    <w:p w:rsidR="00B114FF" w:rsidRPr="00E0236E" w:rsidRDefault="00B114FF" w:rsidP="002D2B3B">
      <w:pPr>
        <w:spacing w:after="120" w:line="360" w:lineRule="auto"/>
        <w:ind w:hanging="567"/>
        <w:jc w:val="both"/>
        <w:rPr>
          <w:rFonts w:ascii="Arial" w:hAnsi="Arial"/>
          <w:b/>
          <w:bCs/>
          <w:color w:val="000000" w:themeColor="text1"/>
          <w:rtl/>
        </w:rPr>
      </w:pPr>
    </w:p>
    <w:p w:rsidR="00B114FF" w:rsidRPr="0011458E" w:rsidRDefault="00B114FF" w:rsidP="00DD7A9F">
      <w:pPr>
        <w:pStyle w:val="ad"/>
        <w:spacing w:after="120" w:line="360" w:lineRule="auto"/>
        <w:ind w:left="0" w:hanging="567"/>
        <w:contextualSpacing w:val="0"/>
        <w:jc w:val="both"/>
        <w:rPr>
          <w:rFonts w:ascii="David" w:hAnsi="David"/>
        </w:rPr>
      </w:pPr>
      <w:r w:rsidRPr="00B52C5F">
        <w:rPr>
          <w:rFonts w:ascii="Arial" w:hAnsi="Arial" w:hint="cs"/>
          <w:b/>
          <w:bCs/>
          <w:color w:val="000000" w:themeColor="text1"/>
          <w:u w:val="single"/>
          <w:rtl/>
        </w:rPr>
        <w:t>דיון והכרעה לגוף הערעור</w:t>
      </w:r>
      <w:r>
        <w:rPr>
          <w:rFonts w:ascii="Arial" w:hAnsi="Arial" w:hint="cs"/>
          <w:b/>
          <w:bCs/>
          <w:color w:val="000000" w:themeColor="text1"/>
          <w:rtl/>
        </w:rPr>
        <w:t>:</w:t>
      </w:r>
    </w:p>
    <w:p w:rsidR="00B114FF" w:rsidRDefault="00B114FF" w:rsidP="002D2B3B">
      <w:pPr>
        <w:pStyle w:val="ad"/>
        <w:numPr>
          <w:ilvl w:val="0"/>
          <w:numId w:val="1"/>
        </w:numPr>
        <w:spacing w:after="120" w:line="360" w:lineRule="auto"/>
        <w:ind w:left="0" w:hanging="567"/>
        <w:contextualSpacing w:val="0"/>
        <w:jc w:val="both"/>
        <w:rPr>
          <w:rFonts w:ascii="David" w:hAnsi="David"/>
        </w:rPr>
      </w:pPr>
      <w:r w:rsidRPr="001C79D6">
        <w:rPr>
          <w:rFonts w:ascii="David" w:hAnsi="David" w:hint="eastAsia"/>
          <w:rtl/>
        </w:rPr>
        <w:t>לאחר</w:t>
      </w:r>
      <w:r w:rsidRPr="001C79D6">
        <w:rPr>
          <w:rFonts w:ascii="David" w:hAnsi="David"/>
          <w:rtl/>
        </w:rPr>
        <w:t xml:space="preserve"> שבחנתי את טענות צדדים בכתב ובע"פ, אציע לחבריי להותיר את פסק הדין על כנו </w:t>
      </w:r>
      <w:r w:rsidRPr="00E0236E">
        <w:rPr>
          <w:rFonts w:ascii="David" w:hAnsi="David" w:hint="eastAsia"/>
          <w:rtl/>
        </w:rPr>
        <w:t>למעט</w:t>
      </w:r>
      <w:r w:rsidRPr="00E0236E">
        <w:rPr>
          <w:rFonts w:ascii="David" w:hAnsi="David"/>
          <w:rtl/>
        </w:rPr>
        <w:t xml:space="preserve"> </w:t>
      </w:r>
      <w:r w:rsidRPr="00E0236E">
        <w:rPr>
          <w:rFonts w:ascii="David" w:hAnsi="David" w:hint="eastAsia"/>
          <w:rtl/>
        </w:rPr>
        <w:t>ההערה</w:t>
      </w:r>
      <w:r w:rsidRPr="00E0236E">
        <w:rPr>
          <w:rFonts w:ascii="David" w:hAnsi="David"/>
          <w:rtl/>
        </w:rPr>
        <w:t xml:space="preserve"> </w:t>
      </w:r>
      <w:r w:rsidRPr="00E0236E">
        <w:rPr>
          <w:rFonts w:ascii="David" w:hAnsi="David" w:hint="eastAsia"/>
          <w:rtl/>
        </w:rPr>
        <w:t>בדבר</w:t>
      </w:r>
      <w:r w:rsidRPr="00E0236E">
        <w:rPr>
          <w:rFonts w:ascii="David" w:hAnsi="David"/>
          <w:rtl/>
        </w:rPr>
        <w:t xml:space="preserve"> </w:t>
      </w:r>
      <w:r w:rsidRPr="00E0236E">
        <w:rPr>
          <w:rFonts w:ascii="David" w:hAnsi="David" w:hint="eastAsia"/>
          <w:rtl/>
        </w:rPr>
        <w:t>מועד</w:t>
      </w:r>
      <w:r w:rsidRPr="00E0236E">
        <w:rPr>
          <w:rFonts w:ascii="David" w:hAnsi="David"/>
          <w:rtl/>
        </w:rPr>
        <w:t xml:space="preserve"> </w:t>
      </w:r>
      <w:r w:rsidRPr="00E0236E">
        <w:rPr>
          <w:rFonts w:ascii="David" w:hAnsi="David" w:hint="eastAsia"/>
          <w:rtl/>
        </w:rPr>
        <w:t>הפינוי</w:t>
      </w:r>
      <w:r w:rsidRPr="00E0236E">
        <w:rPr>
          <w:rFonts w:ascii="David" w:hAnsi="David"/>
          <w:rtl/>
        </w:rPr>
        <w:t xml:space="preserve"> </w:t>
      </w:r>
      <w:r w:rsidRPr="00E0236E">
        <w:rPr>
          <w:rFonts w:ascii="David" w:hAnsi="David" w:hint="eastAsia"/>
          <w:rtl/>
        </w:rPr>
        <w:t>והתנאי</w:t>
      </w:r>
      <w:r w:rsidRPr="00E0236E">
        <w:rPr>
          <w:rFonts w:ascii="David" w:hAnsi="David"/>
          <w:rtl/>
        </w:rPr>
        <w:t xml:space="preserve"> </w:t>
      </w:r>
      <w:r w:rsidRPr="00E0236E">
        <w:rPr>
          <w:rFonts w:ascii="David" w:hAnsi="David" w:hint="eastAsia"/>
          <w:rtl/>
        </w:rPr>
        <w:t>לפינוי</w:t>
      </w:r>
      <w:r w:rsidRPr="00E0236E">
        <w:rPr>
          <w:rFonts w:ascii="David" w:hAnsi="David"/>
          <w:rtl/>
        </w:rPr>
        <w:t xml:space="preserve">, </w:t>
      </w:r>
      <w:r w:rsidRPr="00E0236E">
        <w:rPr>
          <w:rFonts w:ascii="David" w:hAnsi="David" w:hint="eastAsia"/>
          <w:rtl/>
        </w:rPr>
        <w:t>כפי</w:t>
      </w:r>
      <w:r w:rsidRPr="00E0236E">
        <w:rPr>
          <w:rFonts w:ascii="David" w:hAnsi="David"/>
          <w:rtl/>
        </w:rPr>
        <w:t xml:space="preserve"> </w:t>
      </w:r>
      <w:r w:rsidRPr="00E0236E">
        <w:rPr>
          <w:rFonts w:ascii="David" w:hAnsi="David" w:hint="eastAsia"/>
          <w:rtl/>
        </w:rPr>
        <w:t>שארחיב</w:t>
      </w:r>
      <w:r w:rsidRPr="00E0236E">
        <w:rPr>
          <w:rFonts w:ascii="David" w:hAnsi="David"/>
          <w:rtl/>
        </w:rPr>
        <w:t xml:space="preserve"> </w:t>
      </w:r>
      <w:r w:rsidRPr="00E0236E">
        <w:rPr>
          <w:rFonts w:ascii="David" w:hAnsi="David" w:hint="eastAsia"/>
          <w:rtl/>
        </w:rPr>
        <w:t>בהמשך</w:t>
      </w:r>
      <w:r>
        <w:rPr>
          <w:rFonts w:ascii="David" w:hAnsi="David" w:hint="cs"/>
          <w:rtl/>
        </w:rPr>
        <w:t xml:space="preserve"> בסעיף 19 לפסק הדין</w:t>
      </w:r>
      <w:r w:rsidRPr="001C79D6">
        <w:rPr>
          <w:rFonts w:ascii="David" w:hAnsi="David"/>
          <w:rtl/>
        </w:rPr>
        <w:t xml:space="preserve">. פסק הדין </w:t>
      </w:r>
      <w:r w:rsidRPr="001C79D6">
        <w:rPr>
          <w:rFonts w:ascii="David" w:hAnsi="David" w:hint="eastAsia"/>
          <w:rtl/>
        </w:rPr>
        <w:t>קמא</w:t>
      </w:r>
      <w:r w:rsidRPr="001C79D6">
        <w:rPr>
          <w:rFonts w:ascii="David" w:hAnsi="David"/>
          <w:rtl/>
        </w:rPr>
        <w:t xml:space="preserve"> הינו </w:t>
      </w:r>
      <w:r w:rsidRPr="001C79D6">
        <w:rPr>
          <w:rFonts w:ascii="David" w:hAnsi="David" w:hint="eastAsia"/>
          <w:rtl/>
        </w:rPr>
        <w:t>מפורט</w:t>
      </w:r>
      <w:r w:rsidRPr="001C79D6">
        <w:rPr>
          <w:rFonts w:ascii="David" w:hAnsi="David"/>
          <w:rtl/>
        </w:rPr>
        <w:t xml:space="preserve"> </w:t>
      </w:r>
      <w:r w:rsidRPr="001C79D6">
        <w:rPr>
          <w:rFonts w:ascii="David" w:hAnsi="David" w:hint="eastAsia"/>
          <w:rtl/>
        </w:rPr>
        <w:t>ומנומק</w:t>
      </w:r>
      <w:r w:rsidRPr="001C79D6">
        <w:rPr>
          <w:rFonts w:ascii="David" w:hAnsi="David"/>
          <w:rtl/>
        </w:rPr>
        <w:t xml:space="preserve">. </w:t>
      </w:r>
    </w:p>
    <w:p w:rsidR="00B114FF" w:rsidRPr="002B1D0C" w:rsidRDefault="00DD7A9F" w:rsidP="00DD7A9F">
      <w:pPr>
        <w:pStyle w:val="ad"/>
        <w:spacing w:after="120" w:line="360" w:lineRule="auto"/>
        <w:ind w:left="0" w:hanging="567"/>
        <w:contextualSpacing w:val="0"/>
        <w:jc w:val="both"/>
        <w:rPr>
          <w:rFonts w:ascii="David" w:hAnsi="David"/>
          <w:rtl/>
        </w:rPr>
      </w:pPr>
      <w:r>
        <w:rPr>
          <w:rFonts w:ascii="David" w:hAnsi="David"/>
          <w:rtl/>
        </w:rPr>
        <w:tab/>
      </w:r>
      <w:r w:rsidR="00B114FF" w:rsidRPr="001C79D6">
        <w:rPr>
          <w:rFonts w:ascii="David" w:hAnsi="David" w:hint="eastAsia"/>
          <w:rtl/>
        </w:rPr>
        <w:t>אין</w:t>
      </w:r>
      <w:r w:rsidR="00B114FF" w:rsidRPr="001C79D6">
        <w:rPr>
          <w:rFonts w:ascii="David" w:hAnsi="David"/>
          <w:rtl/>
        </w:rPr>
        <w:t xml:space="preserve"> </w:t>
      </w:r>
      <w:r w:rsidR="00B114FF" w:rsidRPr="001C79D6">
        <w:rPr>
          <w:rFonts w:ascii="David" w:hAnsi="David" w:hint="eastAsia"/>
          <w:rtl/>
        </w:rPr>
        <w:t>מקום</w:t>
      </w:r>
      <w:r w:rsidR="00B114FF" w:rsidRPr="001C79D6">
        <w:rPr>
          <w:rFonts w:ascii="David" w:hAnsi="David"/>
          <w:rtl/>
        </w:rPr>
        <w:t xml:space="preserve"> </w:t>
      </w:r>
      <w:r w:rsidR="00B114FF" w:rsidRPr="001C79D6">
        <w:rPr>
          <w:rFonts w:ascii="David" w:hAnsi="David" w:hint="eastAsia"/>
          <w:rtl/>
        </w:rPr>
        <w:t>להתערב</w:t>
      </w:r>
      <w:r w:rsidR="00B114FF" w:rsidRPr="001C79D6">
        <w:rPr>
          <w:rFonts w:ascii="David" w:hAnsi="David"/>
          <w:rtl/>
        </w:rPr>
        <w:t xml:space="preserve"> </w:t>
      </w:r>
      <w:r w:rsidR="00B114FF" w:rsidRPr="001C79D6">
        <w:rPr>
          <w:rFonts w:ascii="David" w:hAnsi="David" w:hint="eastAsia"/>
          <w:rtl/>
        </w:rPr>
        <w:t>בממצאים</w:t>
      </w:r>
      <w:r w:rsidR="00B114FF" w:rsidRPr="001C79D6">
        <w:rPr>
          <w:rFonts w:ascii="David" w:hAnsi="David"/>
          <w:rtl/>
        </w:rPr>
        <w:t xml:space="preserve"> </w:t>
      </w:r>
      <w:r w:rsidR="00B114FF" w:rsidRPr="001C79D6">
        <w:rPr>
          <w:rFonts w:ascii="David" w:hAnsi="David" w:hint="eastAsia"/>
          <w:rtl/>
        </w:rPr>
        <w:t>העובדתיים</w:t>
      </w:r>
      <w:r w:rsidR="00B114FF" w:rsidRPr="001C79D6">
        <w:rPr>
          <w:rFonts w:ascii="David" w:hAnsi="David"/>
          <w:rtl/>
        </w:rPr>
        <w:t xml:space="preserve"> </w:t>
      </w:r>
      <w:r w:rsidR="00B114FF" w:rsidRPr="001C79D6">
        <w:rPr>
          <w:rFonts w:ascii="David" w:hAnsi="David" w:hint="eastAsia"/>
          <w:rtl/>
        </w:rPr>
        <w:t>שנקבעו</w:t>
      </w:r>
      <w:r w:rsidR="00B114FF" w:rsidRPr="001C79D6">
        <w:rPr>
          <w:rFonts w:ascii="David" w:hAnsi="David"/>
          <w:rtl/>
        </w:rPr>
        <w:t xml:space="preserve"> </w:t>
      </w:r>
      <w:r w:rsidR="00B114FF" w:rsidRPr="001C79D6">
        <w:rPr>
          <w:rFonts w:ascii="David" w:hAnsi="David" w:hint="eastAsia"/>
          <w:rtl/>
        </w:rPr>
        <w:t>ב</w:t>
      </w:r>
      <w:r w:rsidR="00B114FF">
        <w:rPr>
          <w:rFonts w:ascii="David" w:hAnsi="David" w:hint="cs"/>
          <w:rtl/>
        </w:rPr>
        <w:t xml:space="preserve">פסק הדין. </w:t>
      </w:r>
      <w:r w:rsidR="00B114FF" w:rsidRPr="001C79D6">
        <w:rPr>
          <w:rFonts w:ascii="David" w:hAnsi="David"/>
          <w:rtl/>
        </w:rPr>
        <w:t>ממצאים</w:t>
      </w:r>
      <w:r w:rsidR="00B114FF">
        <w:rPr>
          <w:rFonts w:ascii="David" w:hAnsi="David" w:hint="cs"/>
          <w:rtl/>
        </w:rPr>
        <w:t xml:space="preserve"> אלה</w:t>
      </w:r>
      <w:r w:rsidR="00B114FF" w:rsidRPr="001C79D6">
        <w:rPr>
          <w:rFonts w:ascii="David" w:hAnsi="David"/>
          <w:rtl/>
        </w:rPr>
        <w:t xml:space="preserve"> תומכים במסקנה המשפטית אליה הגיע </w:t>
      </w:r>
      <w:r w:rsidR="00B114FF" w:rsidRPr="001C79D6">
        <w:rPr>
          <w:rFonts w:ascii="David" w:hAnsi="David" w:hint="eastAsia"/>
          <w:rtl/>
        </w:rPr>
        <w:t>בית</w:t>
      </w:r>
      <w:r w:rsidR="00B114FF" w:rsidRPr="001C79D6">
        <w:rPr>
          <w:rFonts w:ascii="David" w:hAnsi="David"/>
          <w:rtl/>
        </w:rPr>
        <w:t xml:space="preserve"> משפט קמא </w:t>
      </w:r>
      <w:r w:rsidR="00B114FF" w:rsidRPr="001C79D6">
        <w:rPr>
          <w:rFonts w:ascii="David" w:hAnsi="David" w:hint="eastAsia"/>
          <w:rtl/>
        </w:rPr>
        <w:t>ואין</w:t>
      </w:r>
      <w:r w:rsidR="00B114FF" w:rsidRPr="001C79D6">
        <w:rPr>
          <w:rFonts w:ascii="David" w:hAnsi="David"/>
          <w:rtl/>
        </w:rPr>
        <w:t xml:space="preserve"> כל טעות שבחוק בפסק הדין קמא. </w:t>
      </w:r>
      <w:r w:rsidR="00387917">
        <w:rPr>
          <w:rFonts w:ascii="David" w:hAnsi="David" w:hint="cs"/>
          <w:rtl/>
        </w:rPr>
        <w:t xml:space="preserve">הכל כהוראת סעיף 148(ב) לתקנות סדר הדין האזרחי, תשע"ט-2018. </w:t>
      </w:r>
    </w:p>
    <w:p w:rsidR="00B114FF" w:rsidRPr="002D2B3B" w:rsidRDefault="00B114FF" w:rsidP="00033836">
      <w:pPr>
        <w:pStyle w:val="ad"/>
        <w:numPr>
          <w:ilvl w:val="0"/>
          <w:numId w:val="1"/>
        </w:numPr>
        <w:spacing w:after="120" w:line="360" w:lineRule="auto"/>
        <w:ind w:left="-58" w:hanging="567"/>
        <w:contextualSpacing w:val="0"/>
        <w:jc w:val="both"/>
        <w:rPr>
          <w:rFonts w:ascii="David" w:hAnsi="David"/>
        </w:rPr>
      </w:pPr>
      <w:r w:rsidRPr="002D2B3B">
        <w:rPr>
          <w:rFonts w:ascii="David" w:hAnsi="David" w:hint="cs"/>
          <w:u w:val="single"/>
          <w:rtl/>
        </w:rPr>
        <w:t>למעלה מן הצורך אוסיף כדלקמן</w:t>
      </w:r>
      <w:r w:rsidRPr="002D2B3B">
        <w:rPr>
          <w:rFonts w:ascii="David" w:hAnsi="David" w:hint="cs"/>
          <w:rtl/>
        </w:rPr>
        <w:t xml:space="preserve">: </w:t>
      </w:r>
    </w:p>
    <w:p w:rsidR="00B114FF" w:rsidRPr="005925F3" w:rsidRDefault="00B114FF" w:rsidP="00961745">
      <w:pPr>
        <w:pStyle w:val="ad"/>
        <w:numPr>
          <w:ilvl w:val="0"/>
          <w:numId w:val="2"/>
        </w:numPr>
        <w:spacing w:after="120" w:line="360" w:lineRule="auto"/>
        <w:ind w:left="283"/>
        <w:contextualSpacing w:val="0"/>
        <w:jc w:val="both"/>
        <w:rPr>
          <w:rFonts w:ascii="David" w:hAnsi="David"/>
        </w:rPr>
      </w:pPr>
      <w:r w:rsidRPr="005925F3">
        <w:rPr>
          <w:rFonts w:ascii="David" w:hAnsi="David" w:hint="cs"/>
          <w:rtl/>
        </w:rPr>
        <w:t>באשר לטענת המערערים כי שגה בית משפט קמא עת קבע שחובת השכנוע הוטל על המערער ולא על שני הצדדים יחדיו, מאחר ושניהם הגישו תביעות הדדיות, הרי שדין טענה זו להידחות. זכות המשיב במקרקעין ובבית הוכחה באופן מספק משהוגש נסח טאבו על שמו. סעיף 125(א) לחוק המקרקעין, התשכ"ט-1969 (להלן: "</w:t>
      </w:r>
      <w:r w:rsidRPr="005925F3">
        <w:rPr>
          <w:rFonts w:ascii="David" w:hAnsi="David" w:hint="cs"/>
          <w:b/>
          <w:bCs/>
          <w:rtl/>
        </w:rPr>
        <w:t>חוק המקרקעין</w:t>
      </w:r>
      <w:r w:rsidRPr="005925F3">
        <w:rPr>
          <w:rFonts w:ascii="David" w:hAnsi="David" w:hint="cs"/>
          <w:rtl/>
        </w:rPr>
        <w:t xml:space="preserve">"), המורה: </w:t>
      </w:r>
      <w:r w:rsidRPr="005925F3">
        <w:rPr>
          <w:rFonts w:ascii="Arial" w:hAnsi="Arial"/>
          <w:b/>
          <w:bCs/>
          <w:noProof w:val="0"/>
          <w:rtl/>
        </w:rPr>
        <w:t xml:space="preserve">"רישום בפנקסים לגבי מקרקעין מוסדרים יהווה </w:t>
      </w:r>
      <w:r w:rsidRPr="005925F3">
        <w:rPr>
          <w:rFonts w:ascii="Arial" w:hAnsi="Arial"/>
          <w:b/>
          <w:bCs/>
          <w:noProof w:val="0"/>
          <w:rtl/>
        </w:rPr>
        <w:lastRenderedPageBreak/>
        <w:t>ראיה חותכת לתוכנו..."</w:t>
      </w:r>
      <w:r w:rsidRPr="005925F3">
        <w:rPr>
          <w:rFonts w:ascii="David" w:hAnsi="David" w:hint="cs"/>
          <w:rtl/>
        </w:rPr>
        <w:t xml:space="preserve">. משכך הדבר, הנטל לסתור את נפקות הרישום עבר עתה אל כתפי המערערים. כידוע, </w:t>
      </w:r>
      <w:r w:rsidRPr="005925F3">
        <w:rPr>
          <w:rFonts w:ascii="David" w:hAnsi="David" w:hint="cs"/>
          <w:b/>
          <w:bCs/>
          <w:rtl/>
        </w:rPr>
        <w:t>"הנטל לסתירת הרישום ולהוכחת הטענה כי הוא אינו משקף את מצב הדברים אמיתי, כך שהבעלים האמיתי של החלקה היא דווקא [...], הוא נטל כבד מאוד</w:t>
      </w:r>
      <w:r w:rsidRPr="005925F3">
        <w:rPr>
          <w:rFonts w:ascii="David" w:hAnsi="David" w:hint="cs"/>
          <w:rtl/>
        </w:rPr>
        <w:t xml:space="preserve">" </w:t>
      </w:r>
      <w:r w:rsidRPr="005925F3">
        <w:rPr>
          <w:rFonts w:hint="cs"/>
          <w:color w:val="000000"/>
          <w:rtl/>
        </w:rPr>
        <w:t xml:space="preserve">(עיינו לדוגמא </w:t>
      </w:r>
      <w:r w:rsidRPr="005925F3">
        <w:rPr>
          <w:color w:val="000000"/>
          <w:rtl/>
        </w:rPr>
        <w:t xml:space="preserve">ע"א 2576/03 </w:t>
      </w:r>
      <w:r w:rsidRPr="005925F3">
        <w:rPr>
          <w:b/>
          <w:bCs/>
          <w:color w:val="000000"/>
          <w:rtl/>
        </w:rPr>
        <w:t>אהובה וינברג נ' האפוטרופוס לנכסי נפקדים</w:t>
      </w:r>
      <w:r w:rsidRPr="005925F3">
        <w:rPr>
          <w:color w:val="000000"/>
          <w:rtl/>
        </w:rPr>
        <w:t xml:space="preserve"> (נבו 21.2.2007)</w:t>
      </w:r>
      <w:r w:rsidRPr="005925F3">
        <w:rPr>
          <w:rFonts w:ascii="David" w:hAnsi="David" w:hint="cs"/>
          <w:rtl/>
        </w:rPr>
        <w:t xml:space="preserve">). </w:t>
      </w:r>
    </w:p>
    <w:p w:rsidR="00B114FF" w:rsidRPr="00DD7A9F" w:rsidRDefault="00B114FF" w:rsidP="00E23E7E">
      <w:pPr>
        <w:pStyle w:val="ad"/>
        <w:numPr>
          <w:ilvl w:val="0"/>
          <w:numId w:val="2"/>
        </w:numPr>
        <w:spacing w:after="120" w:line="360" w:lineRule="auto"/>
        <w:ind w:left="283"/>
        <w:contextualSpacing w:val="0"/>
        <w:jc w:val="both"/>
        <w:rPr>
          <w:rFonts w:ascii="David" w:hAnsi="David"/>
          <w:rtl/>
        </w:rPr>
      </w:pPr>
      <w:r w:rsidRPr="00DD7A9F">
        <w:rPr>
          <w:rFonts w:ascii="David" w:hAnsi="David" w:hint="cs"/>
          <w:rtl/>
        </w:rPr>
        <w:t xml:space="preserve">באשר לטענת המערערים כי בית משפט קמא שגה בכך שלא דרש מהמשיב להביא כל ראיה כי הוא זה שאכן בנה את הבית, הרי שדי בנסח הטאבו כדי לבסס את ראייתו הלכאורית בדבר, וזאת נוכח סעיף 12 לחוק המקרקעין, המורה כדלקמן: </w:t>
      </w:r>
      <w:r w:rsidRPr="00DD7A9F">
        <w:rPr>
          <w:rFonts w:hint="cs"/>
          <w:b/>
          <w:bCs/>
          <w:color w:val="000000"/>
          <w:rtl/>
        </w:rPr>
        <w:t>"</w:t>
      </w:r>
      <w:r w:rsidRPr="00DD7A9F">
        <w:rPr>
          <w:b/>
          <w:bCs/>
          <w:color w:val="000000"/>
          <w:rtl/>
        </w:rPr>
        <w:t>הבעלות בקרקע חלה גם על הבנוי והנטוע עליה ועל כל דבר אחר המחובר אליה חיבור של קבע, זולת מחוברים הניתנים להפרדה, ואין נפקא מינה אם המחוברים נבנו, ניטעו או חוברו בידי בעל המקרקעין או בידי אדם אחר"</w:t>
      </w:r>
      <w:r w:rsidRPr="00DD7A9F">
        <w:rPr>
          <w:rFonts w:hint="cs"/>
          <w:b/>
          <w:bCs/>
          <w:color w:val="000000"/>
          <w:rtl/>
        </w:rPr>
        <w:t>.</w:t>
      </w:r>
      <w:r w:rsidRPr="00DD7A9F">
        <w:rPr>
          <w:b/>
          <w:bCs/>
          <w:color w:val="000000"/>
          <w:rtl/>
        </w:rPr>
        <w:t xml:space="preserve"> </w:t>
      </w:r>
    </w:p>
    <w:p w:rsidR="00B114FF" w:rsidRPr="00DD7A9F" w:rsidRDefault="00B114FF" w:rsidP="009E7844">
      <w:pPr>
        <w:pStyle w:val="ad"/>
        <w:numPr>
          <w:ilvl w:val="0"/>
          <w:numId w:val="2"/>
        </w:numPr>
        <w:spacing w:after="120" w:line="360" w:lineRule="auto"/>
        <w:ind w:left="283"/>
        <w:contextualSpacing w:val="0"/>
        <w:jc w:val="both"/>
        <w:rPr>
          <w:rFonts w:ascii="David" w:hAnsi="David"/>
        </w:rPr>
      </w:pPr>
      <w:r w:rsidRPr="00DD7A9F">
        <w:rPr>
          <w:rFonts w:ascii="David" w:hAnsi="David" w:hint="eastAsia"/>
          <w:rtl/>
        </w:rPr>
        <w:t>באשר</w:t>
      </w:r>
      <w:r w:rsidRPr="00DD7A9F">
        <w:rPr>
          <w:rFonts w:ascii="David" w:hAnsi="David"/>
          <w:rtl/>
        </w:rPr>
        <w:t xml:space="preserve"> </w:t>
      </w:r>
      <w:r w:rsidRPr="00DD7A9F">
        <w:rPr>
          <w:rFonts w:ascii="David" w:hAnsi="David" w:hint="eastAsia"/>
          <w:rtl/>
        </w:rPr>
        <w:t>לטענה</w:t>
      </w:r>
      <w:r w:rsidRPr="00DD7A9F">
        <w:rPr>
          <w:rFonts w:ascii="David" w:hAnsi="David"/>
          <w:rtl/>
        </w:rPr>
        <w:t xml:space="preserve"> </w:t>
      </w:r>
      <w:r w:rsidRPr="00DD7A9F">
        <w:rPr>
          <w:rFonts w:ascii="David" w:hAnsi="David" w:hint="eastAsia"/>
          <w:rtl/>
        </w:rPr>
        <w:t>כי</w:t>
      </w:r>
      <w:r w:rsidRPr="00DD7A9F">
        <w:rPr>
          <w:rFonts w:ascii="David" w:hAnsi="David"/>
          <w:rtl/>
        </w:rPr>
        <w:t xml:space="preserve"> </w:t>
      </w:r>
      <w:r w:rsidRPr="00DD7A9F">
        <w:rPr>
          <w:rFonts w:ascii="David" w:hAnsi="David" w:hint="eastAsia"/>
          <w:rtl/>
        </w:rPr>
        <w:t>בית</w:t>
      </w:r>
      <w:r w:rsidRPr="00DD7A9F">
        <w:rPr>
          <w:rFonts w:ascii="David" w:hAnsi="David"/>
          <w:rtl/>
        </w:rPr>
        <w:t xml:space="preserve"> </w:t>
      </w:r>
      <w:r w:rsidRPr="00DD7A9F">
        <w:rPr>
          <w:rFonts w:ascii="David" w:hAnsi="David" w:hint="eastAsia"/>
          <w:rtl/>
        </w:rPr>
        <w:t>משפט</w:t>
      </w:r>
      <w:r w:rsidRPr="00DD7A9F">
        <w:rPr>
          <w:rFonts w:ascii="David" w:hAnsi="David"/>
          <w:rtl/>
        </w:rPr>
        <w:t xml:space="preserve"> </w:t>
      </w:r>
      <w:r w:rsidRPr="00DD7A9F">
        <w:rPr>
          <w:rFonts w:ascii="David" w:hAnsi="David" w:hint="eastAsia"/>
          <w:rtl/>
        </w:rPr>
        <w:t>קמא</w:t>
      </w:r>
      <w:r w:rsidRPr="00DD7A9F">
        <w:rPr>
          <w:rFonts w:ascii="David" w:hAnsi="David"/>
          <w:rtl/>
        </w:rPr>
        <w:t xml:space="preserve"> </w:t>
      </w:r>
      <w:r w:rsidRPr="00DD7A9F">
        <w:rPr>
          <w:rFonts w:ascii="David" w:hAnsi="David" w:hint="eastAsia"/>
          <w:rtl/>
        </w:rPr>
        <w:t>שגה</w:t>
      </w:r>
      <w:r w:rsidRPr="00DD7A9F">
        <w:rPr>
          <w:rFonts w:ascii="David" w:hAnsi="David"/>
          <w:rtl/>
        </w:rPr>
        <w:t xml:space="preserve"> </w:t>
      </w:r>
      <w:r w:rsidRPr="00DD7A9F">
        <w:rPr>
          <w:rFonts w:ascii="David" w:hAnsi="David" w:hint="eastAsia"/>
          <w:rtl/>
        </w:rPr>
        <w:t>שלא</w:t>
      </w:r>
      <w:r w:rsidRPr="00DD7A9F">
        <w:rPr>
          <w:rFonts w:ascii="David" w:hAnsi="David"/>
          <w:rtl/>
        </w:rPr>
        <w:t xml:space="preserve"> </w:t>
      </w:r>
      <w:r w:rsidRPr="00DD7A9F">
        <w:rPr>
          <w:rFonts w:ascii="David" w:hAnsi="David" w:hint="eastAsia"/>
          <w:rtl/>
        </w:rPr>
        <w:t>התייחס</w:t>
      </w:r>
      <w:r w:rsidRPr="00DD7A9F">
        <w:rPr>
          <w:rFonts w:ascii="David" w:hAnsi="David"/>
          <w:rtl/>
        </w:rPr>
        <w:t xml:space="preserve"> </w:t>
      </w:r>
      <w:r w:rsidRPr="00DD7A9F">
        <w:rPr>
          <w:rFonts w:ascii="David" w:hAnsi="David" w:hint="eastAsia"/>
          <w:rtl/>
        </w:rPr>
        <w:t>להצהרת</w:t>
      </w:r>
      <w:r w:rsidRPr="00DD7A9F">
        <w:rPr>
          <w:rFonts w:ascii="David" w:hAnsi="David"/>
          <w:rtl/>
        </w:rPr>
        <w:t xml:space="preserve"> </w:t>
      </w:r>
      <w:r w:rsidRPr="00DD7A9F">
        <w:rPr>
          <w:rFonts w:ascii="David" w:hAnsi="David" w:hint="eastAsia"/>
          <w:rtl/>
        </w:rPr>
        <w:t>המשיב</w:t>
      </w:r>
      <w:r w:rsidRPr="00DD7A9F">
        <w:rPr>
          <w:rFonts w:ascii="David" w:hAnsi="David"/>
          <w:rtl/>
        </w:rPr>
        <w:t xml:space="preserve"> </w:t>
      </w:r>
      <w:r w:rsidRPr="00DD7A9F">
        <w:rPr>
          <w:rFonts w:ascii="David" w:hAnsi="David" w:hint="eastAsia"/>
          <w:rtl/>
        </w:rPr>
        <w:t>בהליך</w:t>
      </w:r>
      <w:r w:rsidRPr="00DD7A9F">
        <w:rPr>
          <w:rFonts w:ascii="David" w:hAnsi="David"/>
          <w:rtl/>
        </w:rPr>
        <w:t xml:space="preserve"> </w:t>
      </w:r>
      <w:r w:rsidRPr="00DD7A9F">
        <w:rPr>
          <w:rFonts w:ascii="David" w:hAnsi="David" w:hint="eastAsia"/>
          <w:rtl/>
        </w:rPr>
        <w:t>חע</w:t>
      </w:r>
      <w:r w:rsidRPr="00DD7A9F">
        <w:rPr>
          <w:rFonts w:ascii="David" w:hAnsi="David"/>
          <w:rtl/>
        </w:rPr>
        <w:t xml:space="preserve">"מ </w:t>
      </w:r>
      <w:r w:rsidR="009E7844">
        <w:rPr>
          <w:rFonts w:ascii="David" w:hAnsi="David" w:hint="cs"/>
          <w:rtl/>
        </w:rPr>
        <w:t>0000</w:t>
      </w:r>
      <w:r w:rsidRPr="00DD7A9F">
        <w:rPr>
          <w:rFonts w:ascii="David" w:hAnsi="David" w:hint="cs"/>
          <w:rtl/>
        </w:rPr>
        <w:t>/</w:t>
      </w:r>
      <w:r w:rsidRPr="00DD7A9F">
        <w:rPr>
          <w:rFonts w:ascii="David" w:hAnsi="David"/>
          <w:rtl/>
        </w:rPr>
        <w:t xml:space="preserve">07 </w:t>
      </w:r>
      <w:r w:rsidRPr="00DD7A9F">
        <w:rPr>
          <w:rFonts w:ascii="David" w:hAnsi="David" w:hint="eastAsia"/>
          <w:rtl/>
        </w:rPr>
        <w:t>כי</w:t>
      </w:r>
      <w:r w:rsidRPr="00DD7A9F">
        <w:rPr>
          <w:rFonts w:ascii="David" w:hAnsi="David"/>
          <w:rtl/>
        </w:rPr>
        <w:t xml:space="preserve"> </w:t>
      </w:r>
      <w:r w:rsidRPr="00DD7A9F">
        <w:rPr>
          <w:rFonts w:ascii="David" w:hAnsi="David" w:hint="eastAsia"/>
          <w:rtl/>
        </w:rPr>
        <w:t>מי</w:t>
      </w:r>
      <w:r w:rsidRPr="00DD7A9F">
        <w:rPr>
          <w:rFonts w:ascii="David" w:hAnsi="David"/>
          <w:rtl/>
        </w:rPr>
        <w:t xml:space="preserve"> </w:t>
      </w:r>
      <w:r w:rsidRPr="00DD7A9F">
        <w:rPr>
          <w:rFonts w:ascii="David" w:hAnsi="David" w:hint="eastAsia"/>
          <w:rtl/>
        </w:rPr>
        <w:t>שבנה</w:t>
      </w:r>
      <w:r w:rsidRPr="00DD7A9F">
        <w:rPr>
          <w:rFonts w:ascii="David" w:hAnsi="David"/>
          <w:rtl/>
        </w:rPr>
        <w:t xml:space="preserve"> </w:t>
      </w:r>
      <w:r w:rsidRPr="00DD7A9F">
        <w:rPr>
          <w:rFonts w:ascii="David" w:hAnsi="David" w:hint="eastAsia"/>
          <w:rtl/>
        </w:rPr>
        <w:t>את</w:t>
      </w:r>
      <w:r w:rsidRPr="00DD7A9F">
        <w:rPr>
          <w:rFonts w:ascii="David" w:hAnsi="David"/>
          <w:rtl/>
        </w:rPr>
        <w:t xml:space="preserve"> </w:t>
      </w:r>
      <w:r w:rsidRPr="00DD7A9F">
        <w:rPr>
          <w:rFonts w:ascii="David" w:hAnsi="David" w:hint="eastAsia"/>
          <w:rtl/>
        </w:rPr>
        <w:t>הבית</w:t>
      </w:r>
      <w:r w:rsidRPr="00DD7A9F">
        <w:rPr>
          <w:rFonts w:ascii="David" w:hAnsi="David"/>
          <w:rtl/>
        </w:rPr>
        <w:t xml:space="preserve"> </w:t>
      </w:r>
      <w:r w:rsidRPr="00DD7A9F">
        <w:rPr>
          <w:rFonts w:ascii="David" w:hAnsi="David" w:hint="eastAsia"/>
          <w:rtl/>
        </w:rPr>
        <w:t>הינו</w:t>
      </w:r>
      <w:r w:rsidRPr="00DD7A9F">
        <w:rPr>
          <w:rFonts w:ascii="David" w:hAnsi="David"/>
          <w:rtl/>
        </w:rPr>
        <w:t xml:space="preserve"> </w:t>
      </w:r>
      <w:r w:rsidRPr="00DD7A9F">
        <w:rPr>
          <w:rFonts w:ascii="David" w:hAnsi="David" w:hint="eastAsia"/>
          <w:rtl/>
        </w:rPr>
        <w:t>המערער</w:t>
      </w:r>
      <w:r w:rsidRPr="00DD7A9F">
        <w:rPr>
          <w:rFonts w:ascii="David" w:hAnsi="David"/>
          <w:rtl/>
        </w:rPr>
        <w:t xml:space="preserve"> וכי שגה בית משפט קמא עת לא הבדיל בין גובה הקנסות שהוטלו על המערער </w:t>
      </w:r>
      <w:r w:rsidRPr="00DD7A9F">
        <w:rPr>
          <w:rFonts w:ascii="David" w:hAnsi="David" w:hint="cs"/>
          <w:rtl/>
        </w:rPr>
        <w:t xml:space="preserve">לבין </w:t>
      </w:r>
      <w:r w:rsidRPr="00DD7A9F">
        <w:rPr>
          <w:rFonts w:ascii="David" w:hAnsi="David"/>
          <w:rtl/>
        </w:rPr>
        <w:t xml:space="preserve">המשיב </w:t>
      </w:r>
      <w:r w:rsidRPr="00DD7A9F">
        <w:rPr>
          <w:rFonts w:ascii="David" w:hAnsi="David" w:hint="eastAsia"/>
          <w:rtl/>
        </w:rPr>
        <w:t>בהליך</w:t>
      </w:r>
      <w:r w:rsidRPr="00DD7A9F">
        <w:rPr>
          <w:rFonts w:ascii="David" w:hAnsi="David"/>
          <w:rtl/>
        </w:rPr>
        <w:t xml:space="preserve"> התכנון ובנייה </w:t>
      </w:r>
      <w:r w:rsidRPr="00DD7A9F">
        <w:rPr>
          <w:rFonts w:ascii="David" w:hAnsi="David" w:hint="cs"/>
          <w:rtl/>
        </w:rPr>
        <w:t>וכי העובדה כי המער</w:t>
      </w:r>
      <w:r w:rsidR="009E7844">
        <w:rPr>
          <w:rFonts w:ascii="David" w:hAnsi="David" w:hint="cs"/>
          <w:rtl/>
        </w:rPr>
        <w:t xml:space="preserve">ער הוא זה ששילם את הקנס על הבית </w:t>
      </w:r>
      <w:r w:rsidRPr="00DD7A9F">
        <w:rPr>
          <w:rFonts w:ascii="David" w:hAnsi="David" w:hint="cs"/>
          <w:rtl/>
        </w:rPr>
        <w:t>(בניגוד לקביעתו של בית משפט קמא)</w:t>
      </w:r>
      <w:r w:rsidR="009E7844">
        <w:rPr>
          <w:rFonts w:ascii="David" w:hAnsi="David" w:hint="cs"/>
          <w:rtl/>
        </w:rPr>
        <w:t>,</w:t>
      </w:r>
      <w:r w:rsidRPr="00DD7A9F">
        <w:rPr>
          <w:rFonts w:ascii="David" w:hAnsi="David" w:hint="cs"/>
          <w:rtl/>
        </w:rPr>
        <w:t xml:space="preserve"> אין לראיות על הקנס ו/או מי שנשא בו כל </w:t>
      </w:r>
      <w:r w:rsidRPr="00DD7A9F">
        <w:rPr>
          <w:rFonts w:ascii="David" w:hAnsi="David" w:hint="eastAsia"/>
          <w:rtl/>
        </w:rPr>
        <w:t>ערך</w:t>
      </w:r>
      <w:r w:rsidRPr="00DD7A9F">
        <w:rPr>
          <w:rFonts w:ascii="David" w:hAnsi="David"/>
          <w:rtl/>
        </w:rPr>
        <w:t xml:space="preserve"> </w:t>
      </w:r>
      <w:r w:rsidRPr="00DD7A9F">
        <w:rPr>
          <w:rFonts w:ascii="David" w:hAnsi="David" w:hint="eastAsia"/>
          <w:rtl/>
        </w:rPr>
        <w:t>ראייתי</w:t>
      </w:r>
      <w:r w:rsidRPr="00DD7A9F">
        <w:rPr>
          <w:rFonts w:ascii="David" w:hAnsi="David"/>
          <w:rtl/>
        </w:rPr>
        <w:t xml:space="preserve"> </w:t>
      </w:r>
      <w:r w:rsidRPr="00DD7A9F">
        <w:rPr>
          <w:rFonts w:ascii="David" w:hAnsi="David" w:hint="eastAsia"/>
          <w:rtl/>
        </w:rPr>
        <w:t>לסוגיה</w:t>
      </w:r>
      <w:r w:rsidRPr="00DD7A9F">
        <w:rPr>
          <w:rFonts w:ascii="David" w:hAnsi="David"/>
          <w:rtl/>
        </w:rPr>
        <w:t xml:space="preserve"> הקניינית</w:t>
      </w:r>
      <w:r w:rsidRPr="00DD7A9F">
        <w:rPr>
          <w:rFonts w:ascii="David" w:hAnsi="David" w:hint="cs"/>
          <w:rtl/>
        </w:rPr>
        <w:t xml:space="preserve"> כפי שקבע בית משפט קמא. בסעיפים 52 ו-53 לפסק הדין קמא התייחס בית משפט קמא לעניין זה, שיקלל את טענות הצדדים בהליך זה אל מול ההליך הפלילי והגיע למסקנה כי אין בכך כדי להוכיח שהמערער הוא הבעלים של הבית ו/או שליש מהמקרקעין. בקביעתו זו לא נפלה טעות. </w:t>
      </w:r>
      <w:r w:rsidRPr="00DD7A9F">
        <w:rPr>
          <w:rFonts w:ascii="David" w:hAnsi="David"/>
          <w:rtl/>
        </w:rPr>
        <w:t xml:space="preserve">טענות </w:t>
      </w:r>
      <w:r w:rsidRPr="00DD7A9F">
        <w:rPr>
          <w:rFonts w:ascii="David" w:hAnsi="David" w:hint="cs"/>
          <w:rtl/>
        </w:rPr>
        <w:t xml:space="preserve">וראיות </w:t>
      </w:r>
      <w:r w:rsidRPr="00DD7A9F">
        <w:rPr>
          <w:rFonts w:ascii="David" w:hAnsi="David"/>
          <w:rtl/>
        </w:rPr>
        <w:t>אלו ראויות להיבחן במסגרת תביעה כספית להשבת השקעות/השבחות</w:t>
      </w:r>
      <w:r w:rsidRPr="00DD7A9F">
        <w:rPr>
          <w:rFonts w:ascii="David" w:hAnsi="David" w:hint="cs"/>
          <w:rtl/>
        </w:rPr>
        <w:t>.</w:t>
      </w:r>
      <w:r w:rsidRPr="00DD7A9F">
        <w:rPr>
          <w:rFonts w:ascii="David" w:hAnsi="David"/>
          <w:rtl/>
        </w:rPr>
        <w:t xml:space="preserve"> </w:t>
      </w:r>
      <w:r w:rsidRPr="00DD7A9F">
        <w:rPr>
          <w:rFonts w:ascii="David" w:hAnsi="David" w:hint="cs"/>
          <w:rtl/>
        </w:rPr>
        <w:t xml:space="preserve">בית משפט קמא התרשם כי יש ממש בטענתם לעניין ההשקעה בבית, אך אין די בטענות כלליות של השקעה כבדה כתימוכין וביסוס לטענות בעניין הבעלות והקניית הזכות הקניינית (ראו סעיפים 40-41 לפסק הדין קמא).  </w:t>
      </w:r>
    </w:p>
    <w:p w:rsidR="00B114FF" w:rsidRPr="00DD7A9F" w:rsidRDefault="00B114FF" w:rsidP="00157ECD">
      <w:pPr>
        <w:pStyle w:val="ad"/>
        <w:numPr>
          <w:ilvl w:val="0"/>
          <w:numId w:val="2"/>
        </w:numPr>
        <w:spacing w:after="120" w:line="360" w:lineRule="auto"/>
        <w:ind w:left="283"/>
        <w:contextualSpacing w:val="0"/>
        <w:jc w:val="both"/>
        <w:rPr>
          <w:rFonts w:ascii="David" w:hAnsi="David"/>
          <w:rtl/>
        </w:rPr>
      </w:pPr>
      <w:r>
        <w:rPr>
          <w:rFonts w:hint="cs"/>
          <w:rtl/>
        </w:rPr>
        <w:t>אין בידי לקבל את טענת המערערים ש</w:t>
      </w:r>
      <w:r w:rsidRPr="00094B57">
        <w:rPr>
          <w:rFonts w:hint="cs"/>
          <w:rtl/>
        </w:rPr>
        <w:t xml:space="preserve">דברי המשיב </w:t>
      </w:r>
      <w:r>
        <w:rPr>
          <w:rFonts w:hint="cs"/>
          <w:rtl/>
        </w:rPr>
        <w:t>שהוקלטו ותומללו</w:t>
      </w:r>
      <w:r w:rsidRPr="00094B57">
        <w:rPr>
          <w:rFonts w:hint="cs"/>
          <w:rtl/>
        </w:rPr>
        <w:t xml:space="preserve"> כי "הבית הוא למערער" </w:t>
      </w:r>
      <w:r>
        <w:rPr>
          <w:rFonts w:hint="cs"/>
          <w:rtl/>
        </w:rPr>
        <w:t xml:space="preserve">מלמדים על הצהרה מפורשת של המשיב כי המערער הינו הבעלים של הבית. המערער לא נחקר על כך. </w:t>
      </w:r>
      <w:r w:rsidRPr="00DD7A9F">
        <w:rPr>
          <w:rFonts w:ascii="David" w:hAnsi="David" w:hint="eastAsia"/>
          <w:rtl/>
        </w:rPr>
        <w:t>מסופקני</w:t>
      </w:r>
      <w:r w:rsidRPr="00DD7A9F">
        <w:rPr>
          <w:rFonts w:ascii="David" w:hAnsi="David"/>
          <w:rtl/>
        </w:rPr>
        <w:t xml:space="preserve"> אם </w:t>
      </w:r>
      <w:r w:rsidRPr="00DD7A9F">
        <w:rPr>
          <w:rFonts w:ascii="David" w:hAnsi="David" w:hint="eastAsia"/>
          <w:rtl/>
        </w:rPr>
        <w:t>יש</w:t>
      </w:r>
      <w:r w:rsidRPr="00DD7A9F">
        <w:rPr>
          <w:rFonts w:ascii="David" w:hAnsi="David"/>
          <w:rtl/>
        </w:rPr>
        <w:t xml:space="preserve"> </w:t>
      </w:r>
      <w:r w:rsidRPr="00DD7A9F">
        <w:rPr>
          <w:rFonts w:ascii="David" w:hAnsi="David" w:hint="eastAsia"/>
          <w:rtl/>
        </w:rPr>
        <w:t>באמירה</w:t>
      </w:r>
      <w:r w:rsidRPr="00DD7A9F">
        <w:rPr>
          <w:rFonts w:ascii="David" w:hAnsi="David"/>
          <w:rtl/>
        </w:rPr>
        <w:t xml:space="preserve"> </w:t>
      </w:r>
      <w:r w:rsidRPr="00DD7A9F">
        <w:rPr>
          <w:rFonts w:ascii="David" w:hAnsi="David" w:hint="eastAsia"/>
          <w:rtl/>
        </w:rPr>
        <w:t>זו</w:t>
      </w:r>
      <w:r w:rsidRPr="00DD7A9F">
        <w:rPr>
          <w:rFonts w:ascii="David" w:hAnsi="David"/>
          <w:rtl/>
        </w:rPr>
        <w:t xml:space="preserve"> </w:t>
      </w:r>
      <w:r w:rsidRPr="00DD7A9F">
        <w:rPr>
          <w:rFonts w:ascii="David" w:hAnsi="David" w:hint="eastAsia"/>
          <w:rtl/>
        </w:rPr>
        <w:t>ובנסיבות</w:t>
      </w:r>
      <w:r w:rsidRPr="00DD7A9F">
        <w:rPr>
          <w:rFonts w:ascii="David" w:hAnsi="David"/>
          <w:rtl/>
        </w:rPr>
        <w:t xml:space="preserve"> </w:t>
      </w:r>
      <w:r w:rsidRPr="00DD7A9F">
        <w:rPr>
          <w:rFonts w:ascii="David" w:hAnsi="David" w:hint="eastAsia"/>
          <w:rtl/>
        </w:rPr>
        <w:t>המתוארות</w:t>
      </w:r>
      <w:r w:rsidRPr="00DD7A9F">
        <w:rPr>
          <w:rFonts w:ascii="David" w:hAnsi="David"/>
          <w:rtl/>
        </w:rPr>
        <w:t xml:space="preserve"> </w:t>
      </w:r>
      <w:r w:rsidRPr="00DD7A9F">
        <w:rPr>
          <w:rFonts w:ascii="David" w:hAnsi="David" w:hint="eastAsia"/>
          <w:rtl/>
        </w:rPr>
        <w:t>כדי</w:t>
      </w:r>
      <w:r w:rsidRPr="00DD7A9F">
        <w:rPr>
          <w:rFonts w:ascii="David" w:hAnsi="David"/>
          <w:rtl/>
        </w:rPr>
        <w:t xml:space="preserve"> </w:t>
      </w:r>
      <w:r w:rsidRPr="00DD7A9F">
        <w:rPr>
          <w:rFonts w:ascii="David" w:hAnsi="David" w:hint="eastAsia"/>
          <w:rtl/>
        </w:rPr>
        <w:t>להוות</w:t>
      </w:r>
      <w:r w:rsidRPr="00DD7A9F">
        <w:rPr>
          <w:rFonts w:ascii="David" w:hAnsi="David"/>
          <w:rtl/>
        </w:rPr>
        <w:t xml:space="preserve"> </w:t>
      </w:r>
      <w:r w:rsidRPr="00DD7A9F">
        <w:rPr>
          <w:rFonts w:ascii="David" w:hAnsi="David" w:hint="eastAsia"/>
          <w:rtl/>
        </w:rPr>
        <w:t>ראיה</w:t>
      </w:r>
      <w:r w:rsidRPr="00DD7A9F">
        <w:rPr>
          <w:rFonts w:ascii="David" w:hAnsi="David"/>
          <w:rtl/>
        </w:rPr>
        <w:t xml:space="preserve"> </w:t>
      </w:r>
      <w:r w:rsidRPr="00DD7A9F">
        <w:rPr>
          <w:rFonts w:ascii="David" w:hAnsi="David" w:hint="eastAsia"/>
          <w:rtl/>
        </w:rPr>
        <w:t>לתשובה</w:t>
      </w:r>
      <w:r w:rsidRPr="00DD7A9F">
        <w:rPr>
          <w:rFonts w:ascii="David" w:hAnsi="David"/>
          <w:rtl/>
        </w:rPr>
        <w:t xml:space="preserve"> לשאלה הקניינית </w:t>
      </w:r>
      <w:r w:rsidRPr="00DD7A9F">
        <w:rPr>
          <w:rFonts w:ascii="David" w:hAnsi="David" w:hint="eastAsia"/>
          <w:rtl/>
        </w:rPr>
        <w:t>שבין</w:t>
      </w:r>
      <w:r w:rsidRPr="00DD7A9F">
        <w:rPr>
          <w:rFonts w:ascii="David" w:hAnsi="David"/>
          <w:rtl/>
        </w:rPr>
        <w:t xml:space="preserve"> הצדדים </w:t>
      </w:r>
      <w:r w:rsidRPr="00DD7A9F">
        <w:rPr>
          <w:rFonts w:ascii="David" w:hAnsi="David" w:hint="eastAsia"/>
          <w:rtl/>
        </w:rPr>
        <w:t>או</w:t>
      </w:r>
      <w:r w:rsidRPr="00DD7A9F">
        <w:rPr>
          <w:rFonts w:ascii="David" w:hAnsi="David"/>
          <w:rtl/>
        </w:rPr>
        <w:t xml:space="preserve"> שמא </w:t>
      </w:r>
      <w:r w:rsidRPr="00DD7A9F">
        <w:rPr>
          <w:rFonts w:ascii="David" w:hAnsi="David" w:hint="eastAsia"/>
          <w:rtl/>
        </w:rPr>
        <w:t>תשובה</w:t>
      </w:r>
      <w:r w:rsidRPr="00DD7A9F">
        <w:rPr>
          <w:rFonts w:ascii="David" w:hAnsi="David"/>
          <w:rtl/>
        </w:rPr>
        <w:t xml:space="preserve"> לכאורה </w:t>
      </w:r>
      <w:r w:rsidRPr="00DD7A9F">
        <w:rPr>
          <w:rFonts w:ascii="David" w:hAnsi="David" w:hint="eastAsia"/>
          <w:rtl/>
        </w:rPr>
        <w:t>רק</w:t>
      </w:r>
      <w:r w:rsidRPr="00DD7A9F">
        <w:rPr>
          <w:rFonts w:ascii="David" w:hAnsi="David"/>
          <w:rtl/>
        </w:rPr>
        <w:t xml:space="preserve"> </w:t>
      </w:r>
      <w:r w:rsidRPr="00DD7A9F">
        <w:rPr>
          <w:rFonts w:ascii="David" w:hAnsi="David" w:hint="eastAsia"/>
          <w:rtl/>
        </w:rPr>
        <w:t>לשאלת</w:t>
      </w:r>
      <w:r w:rsidRPr="00DD7A9F">
        <w:rPr>
          <w:rFonts w:ascii="David" w:hAnsi="David"/>
          <w:rtl/>
        </w:rPr>
        <w:t xml:space="preserve"> </w:t>
      </w:r>
      <w:r w:rsidRPr="00DD7A9F">
        <w:rPr>
          <w:rFonts w:ascii="David" w:hAnsi="David" w:hint="eastAsia"/>
          <w:rtl/>
        </w:rPr>
        <w:t>ההחזקה</w:t>
      </w:r>
      <w:r w:rsidRPr="00DD7A9F">
        <w:rPr>
          <w:rFonts w:ascii="David" w:hAnsi="David"/>
          <w:rtl/>
        </w:rPr>
        <w:t xml:space="preserve"> </w:t>
      </w:r>
      <w:r w:rsidRPr="00DD7A9F">
        <w:rPr>
          <w:rFonts w:ascii="David" w:hAnsi="David" w:hint="eastAsia"/>
          <w:rtl/>
        </w:rPr>
        <w:t>ושימוש</w:t>
      </w:r>
      <w:r w:rsidRPr="00DD7A9F">
        <w:rPr>
          <w:rFonts w:ascii="David" w:hAnsi="David"/>
          <w:rtl/>
        </w:rPr>
        <w:t xml:space="preserve">. אין הדבר מובהק. </w:t>
      </w:r>
      <w:r>
        <w:rPr>
          <w:rFonts w:hint="cs"/>
          <w:rtl/>
        </w:rPr>
        <w:t>ראו גם לעניין זה דברי ב"כ המשיב בעמ' 2 ש</w:t>
      </w:r>
      <w:r w:rsidR="00311E21">
        <w:rPr>
          <w:rFonts w:hint="cs"/>
          <w:rtl/>
        </w:rPr>
        <w:t>ו</w:t>
      </w:r>
      <w:r>
        <w:rPr>
          <w:rFonts w:hint="cs"/>
          <w:rtl/>
        </w:rPr>
        <w:t xml:space="preserve">' 31-33 לפרוטוקול הדיון מיום 16.9.24. במילים אחרות, אין באמירות אלו, כשהמשיב לא נחקר עליהן, כדי </w:t>
      </w:r>
      <w:r w:rsidRPr="00094B57">
        <w:rPr>
          <w:rtl/>
        </w:rPr>
        <w:t xml:space="preserve">לגבור על דרישת הכתב </w:t>
      </w:r>
      <w:r w:rsidRPr="00094B57">
        <w:rPr>
          <w:rFonts w:hint="eastAsia"/>
          <w:rtl/>
        </w:rPr>
        <w:t>שבסעיף</w:t>
      </w:r>
      <w:r w:rsidRPr="00094B57">
        <w:rPr>
          <w:rtl/>
        </w:rPr>
        <w:t xml:space="preserve"> 8 לחוק המקרקעין.</w:t>
      </w:r>
      <w:r w:rsidRPr="00DD7A9F">
        <w:rPr>
          <w:rFonts w:ascii="David" w:hAnsi="David"/>
          <w:rtl/>
        </w:rPr>
        <w:t xml:space="preserve"> </w:t>
      </w:r>
      <w:r w:rsidRPr="00DD7A9F">
        <w:rPr>
          <w:rFonts w:ascii="David" w:hAnsi="David"/>
          <w:b/>
          <w:bCs/>
          <w:rtl/>
        </w:rPr>
        <w:t>"כיד</w:t>
      </w:r>
      <w:r w:rsidRPr="00DD7A9F">
        <w:rPr>
          <w:rFonts w:ascii="David" w:hAnsi="David" w:hint="eastAsia"/>
          <w:b/>
          <w:bCs/>
          <w:rtl/>
        </w:rPr>
        <w:t>וע</w:t>
      </w:r>
      <w:r w:rsidRPr="00DD7A9F">
        <w:rPr>
          <w:rFonts w:ascii="David" w:hAnsi="David"/>
          <w:b/>
          <w:bCs/>
          <w:rtl/>
        </w:rPr>
        <w:t xml:space="preserve">, הטעם העיקרי לדרישת הכתב הקבועה בסעיף 8 לחוק המקרקעין נעוץ בחשיבות שמייחס המחוקק להתחייבויות לעשיית עסקאות במקרקעין ובצורך להבטיח את רצינותן. </w:t>
      </w:r>
      <w:r w:rsidRPr="00DD7A9F">
        <w:rPr>
          <w:rFonts w:ascii="David" w:hAnsi="David" w:hint="eastAsia"/>
          <w:b/>
          <w:bCs/>
          <w:rtl/>
        </w:rPr>
        <w:t>ד</w:t>
      </w:r>
      <w:r w:rsidRPr="00DD7A9F">
        <w:rPr>
          <w:rFonts w:ascii="David" w:hAnsi="David"/>
          <w:b/>
          <w:bCs/>
          <w:rtl/>
        </w:rPr>
        <w:t xml:space="preserve">רישת הכתב נועדה "להדגיש כי מדובר בהתחייבויות שיש להתייחס אליהן בכובד ראש והיא מבקשת להגן על הצדדים מפני התקשרויות חפוזות העלולות להתבצע בלא שהופעל על ידי מי מהם שיקול דעת מושכל. כמו כן, מושגת באמצעות דרישת הכתב </w:t>
      </w:r>
      <w:r w:rsidRPr="00DD7A9F">
        <w:rPr>
          <w:rFonts w:ascii="David" w:hAnsi="David" w:hint="eastAsia"/>
          <w:b/>
          <w:bCs/>
          <w:rtl/>
        </w:rPr>
        <w:t>ו</w:t>
      </w:r>
      <w:r w:rsidRPr="00DD7A9F">
        <w:rPr>
          <w:rFonts w:ascii="David" w:hAnsi="David"/>
          <w:b/>
          <w:bCs/>
          <w:rtl/>
        </w:rPr>
        <w:t>ודאות באשר לתוכנה של העסקה במקרקעין ויש הרואים גם בכך מטרה רלוונטית, בהינתן החשיבות שמייחס המחוקק לעסקאות במקרקעין. [...]" </w:t>
      </w:r>
      <w:r w:rsidRPr="00DD7A9F">
        <w:rPr>
          <w:rFonts w:ascii="David" w:hAnsi="David"/>
          <w:rtl/>
        </w:rPr>
        <w:t xml:space="preserve">(ע"א 8234/09 </w:t>
      </w:r>
      <w:r w:rsidRPr="00DD7A9F">
        <w:rPr>
          <w:rFonts w:ascii="David" w:hAnsi="David"/>
          <w:b/>
          <w:bCs/>
          <w:rtl/>
        </w:rPr>
        <w:t>לילי שם טוב נ' כדורי פרץ</w:t>
      </w:r>
      <w:r w:rsidRPr="00DD7A9F">
        <w:rPr>
          <w:rFonts w:ascii="David" w:hAnsi="David"/>
          <w:rtl/>
        </w:rPr>
        <w:t xml:space="preserve">, </w:t>
      </w:r>
      <w:r w:rsidRPr="00DD7A9F">
        <w:rPr>
          <w:rFonts w:ascii="David" w:hAnsi="David" w:hint="cs"/>
          <w:rtl/>
        </w:rPr>
        <w:t>פ</w:t>
      </w:r>
      <w:r w:rsidRPr="00DD7A9F">
        <w:rPr>
          <w:rFonts w:ascii="David" w:hAnsi="David"/>
          <w:rtl/>
        </w:rPr>
        <w:t>ד(3) 60</w:t>
      </w:r>
      <w:r w:rsidRPr="00DD7A9F">
        <w:rPr>
          <w:rFonts w:ascii="David" w:hAnsi="David"/>
        </w:rPr>
        <w:t xml:space="preserve"> (2011)</w:t>
      </w:r>
      <w:r w:rsidRPr="00DD7A9F">
        <w:rPr>
          <w:rFonts w:ascii="David" w:hAnsi="David" w:hint="eastAsia"/>
          <w:rtl/>
        </w:rPr>
        <w:t>והאסמכתאות</w:t>
      </w:r>
      <w:r w:rsidRPr="00DD7A9F">
        <w:rPr>
          <w:rFonts w:ascii="David" w:hAnsi="David"/>
          <w:rtl/>
        </w:rPr>
        <w:t xml:space="preserve"> </w:t>
      </w:r>
      <w:r w:rsidRPr="00DD7A9F">
        <w:rPr>
          <w:rFonts w:ascii="David" w:hAnsi="David" w:hint="eastAsia"/>
          <w:rtl/>
        </w:rPr>
        <w:t>המצוינות</w:t>
      </w:r>
      <w:r w:rsidRPr="00DD7A9F">
        <w:rPr>
          <w:rFonts w:ascii="David" w:hAnsi="David"/>
          <w:rtl/>
        </w:rPr>
        <w:t xml:space="preserve"> </w:t>
      </w:r>
      <w:r w:rsidRPr="00DD7A9F">
        <w:rPr>
          <w:rFonts w:ascii="David" w:hAnsi="David" w:hint="eastAsia"/>
          <w:rtl/>
        </w:rPr>
        <w:t>שם</w:t>
      </w:r>
      <w:r w:rsidRPr="00DD7A9F">
        <w:rPr>
          <w:rFonts w:ascii="David" w:hAnsi="David"/>
          <w:rtl/>
        </w:rPr>
        <w:t xml:space="preserve">). </w:t>
      </w:r>
    </w:p>
    <w:p w:rsidR="00B114FF" w:rsidRPr="00DD7A9F" w:rsidRDefault="00B114FF" w:rsidP="00956ACA">
      <w:pPr>
        <w:pStyle w:val="ad"/>
        <w:numPr>
          <w:ilvl w:val="0"/>
          <w:numId w:val="2"/>
        </w:numPr>
        <w:spacing w:after="120" w:line="360" w:lineRule="auto"/>
        <w:ind w:left="283"/>
        <w:contextualSpacing w:val="0"/>
        <w:jc w:val="both"/>
        <w:rPr>
          <w:rFonts w:ascii="David" w:hAnsi="David"/>
          <w:rtl/>
        </w:rPr>
      </w:pPr>
      <w:r w:rsidRPr="00DD7A9F">
        <w:rPr>
          <w:rFonts w:ascii="David" w:hAnsi="David" w:hint="eastAsia"/>
          <w:rtl/>
        </w:rPr>
        <w:lastRenderedPageBreak/>
        <w:t>באשר</w:t>
      </w:r>
      <w:r w:rsidRPr="00DD7A9F">
        <w:rPr>
          <w:rFonts w:ascii="David" w:hAnsi="David"/>
          <w:rtl/>
        </w:rPr>
        <w:t xml:space="preserve"> </w:t>
      </w:r>
      <w:r w:rsidRPr="00DD7A9F">
        <w:rPr>
          <w:rFonts w:ascii="David" w:hAnsi="David" w:hint="eastAsia"/>
          <w:rtl/>
        </w:rPr>
        <w:t>לטענה</w:t>
      </w:r>
      <w:r w:rsidRPr="00DD7A9F">
        <w:rPr>
          <w:rFonts w:ascii="David" w:hAnsi="David"/>
          <w:rtl/>
        </w:rPr>
        <w:t xml:space="preserve"> כי </w:t>
      </w:r>
      <w:r w:rsidRPr="00DD7A9F">
        <w:rPr>
          <w:rFonts w:ascii="David" w:hAnsi="David" w:hint="eastAsia"/>
          <w:rtl/>
        </w:rPr>
        <w:t>בית</w:t>
      </w:r>
      <w:r w:rsidRPr="00DD7A9F">
        <w:rPr>
          <w:rFonts w:ascii="David" w:hAnsi="David"/>
          <w:rtl/>
        </w:rPr>
        <w:t xml:space="preserve"> </w:t>
      </w:r>
      <w:r w:rsidRPr="00DD7A9F">
        <w:rPr>
          <w:rFonts w:ascii="David" w:hAnsi="David" w:hint="eastAsia"/>
          <w:rtl/>
        </w:rPr>
        <w:t>משפט</w:t>
      </w:r>
      <w:r w:rsidRPr="00DD7A9F">
        <w:rPr>
          <w:rFonts w:ascii="David" w:hAnsi="David"/>
          <w:rtl/>
        </w:rPr>
        <w:t xml:space="preserve"> </w:t>
      </w:r>
      <w:r w:rsidRPr="00DD7A9F">
        <w:rPr>
          <w:rFonts w:ascii="David" w:hAnsi="David" w:hint="eastAsia"/>
          <w:rtl/>
        </w:rPr>
        <w:t>קמא</w:t>
      </w:r>
      <w:r w:rsidRPr="00DD7A9F">
        <w:rPr>
          <w:rFonts w:ascii="David" w:hAnsi="David"/>
          <w:rtl/>
        </w:rPr>
        <w:t xml:space="preserve"> </w:t>
      </w:r>
      <w:r w:rsidRPr="00DD7A9F">
        <w:rPr>
          <w:rFonts w:ascii="David" w:hAnsi="David" w:hint="eastAsia"/>
          <w:rtl/>
        </w:rPr>
        <w:t>שגה</w:t>
      </w:r>
      <w:r w:rsidRPr="00DD7A9F">
        <w:rPr>
          <w:rFonts w:ascii="David" w:hAnsi="David"/>
          <w:rtl/>
        </w:rPr>
        <w:t xml:space="preserve"> </w:t>
      </w:r>
      <w:r w:rsidRPr="00DD7A9F">
        <w:rPr>
          <w:rFonts w:ascii="David" w:hAnsi="David" w:hint="eastAsia"/>
          <w:rtl/>
        </w:rPr>
        <w:t>עת</w:t>
      </w:r>
      <w:r w:rsidRPr="00DD7A9F">
        <w:rPr>
          <w:rFonts w:ascii="David" w:hAnsi="David"/>
          <w:rtl/>
        </w:rPr>
        <w:t xml:space="preserve"> </w:t>
      </w:r>
      <w:r w:rsidRPr="00DD7A9F">
        <w:rPr>
          <w:rFonts w:ascii="David" w:hAnsi="David" w:hint="eastAsia"/>
          <w:rtl/>
        </w:rPr>
        <w:t>לא</w:t>
      </w:r>
      <w:r w:rsidRPr="00DD7A9F">
        <w:rPr>
          <w:rFonts w:ascii="David" w:hAnsi="David"/>
          <w:rtl/>
        </w:rPr>
        <w:t xml:space="preserve"> </w:t>
      </w:r>
      <w:r w:rsidRPr="00DD7A9F">
        <w:rPr>
          <w:rFonts w:ascii="David" w:hAnsi="David" w:hint="eastAsia"/>
          <w:rtl/>
        </w:rPr>
        <w:t>התייחס</w:t>
      </w:r>
      <w:r w:rsidRPr="00DD7A9F">
        <w:rPr>
          <w:rFonts w:ascii="David" w:hAnsi="David"/>
          <w:rtl/>
        </w:rPr>
        <w:t xml:space="preserve"> </w:t>
      </w:r>
      <w:r w:rsidRPr="00DD7A9F">
        <w:rPr>
          <w:rFonts w:ascii="David" w:hAnsi="David" w:hint="eastAsia"/>
          <w:rtl/>
        </w:rPr>
        <w:t>לכך</w:t>
      </w:r>
      <w:r w:rsidRPr="00DD7A9F">
        <w:rPr>
          <w:rFonts w:ascii="David" w:hAnsi="David"/>
          <w:rtl/>
        </w:rPr>
        <w:t xml:space="preserve"> </w:t>
      </w:r>
      <w:r w:rsidRPr="00DD7A9F">
        <w:rPr>
          <w:rFonts w:ascii="David" w:hAnsi="David" w:hint="eastAsia"/>
          <w:rtl/>
        </w:rPr>
        <w:t>שהמערערים</w:t>
      </w:r>
      <w:r w:rsidRPr="00DD7A9F">
        <w:rPr>
          <w:rFonts w:ascii="David" w:hAnsi="David"/>
          <w:rtl/>
        </w:rPr>
        <w:t xml:space="preserve"> </w:t>
      </w:r>
      <w:r w:rsidRPr="00DD7A9F">
        <w:rPr>
          <w:rFonts w:ascii="David" w:hAnsi="David" w:hint="eastAsia"/>
          <w:rtl/>
        </w:rPr>
        <w:t>חזרו</w:t>
      </w:r>
      <w:r w:rsidRPr="00DD7A9F">
        <w:rPr>
          <w:rFonts w:ascii="David" w:hAnsi="David"/>
          <w:rtl/>
        </w:rPr>
        <w:t xml:space="preserve"> </w:t>
      </w:r>
      <w:r w:rsidRPr="00DD7A9F">
        <w:rPr>
          <w:rFonts w:ascii="David" w:hAnsi="David" w:hint="eastAsia"/>
          <w:rtl/>
        </w:rPr>
        <w:t>לגור</w:t>
      </w:r>
      <w:r w:rsidRPr="00DD7A9F">
        <w:rPr>
          <w:rFonts w:ascii="David" w:hAnsi="David"/>
          <w:rtl/>
        </w:rPr>
        <w:t xml:space="preserve"> </w:t>
      </w:r>
      <w:r w:rsidRPr="00DD7A9F">
        <w:rPr>
          <w:rFonts w:ascii="David" w:hAnsi="David" w:hint="eastAsia"/>
          <w:rtl/>
        </w:rPr>
        <w:t>בבית</w:t>
      </w:r>
      <w:r w:rsidRPr="00DD7A9F">
        <w:rPr>
          <w:rFonts w:ascii="David" w:hAnsi="David"/>
          <w:rtl/>
        </w:rPr>
        <w:t xml:space="preserve"> </w:t>
      </w:r>
      <w:r w:rsidRPr="00DD7A9F">
        <w:rPr>
          <w:rFonts w:ascii="David" w:hAnsi="David" w:hint="eastAsia"/>
          <w:rtl/>
        </w:rPr>
        <w:t>הנטען</w:t>
      </w:r>
      <w:r w:rsidRPr="00DD7A9F">
        <w:rPr>
          <w:rFonts w:ascii="David" w:hAnsi="David"/>
          <w:rtl/>
        </w:rPr>
        <w:t xml:space="preserve"> </w:t>
      </w:r>
      <w:r w:rsidRPr="00DD7A9F">
        <w:rPr>
          <w:rFonts w:ascii="David" w:hAnsi="David" w:hint="eastAsia"/>
          <w:rtl/>
        </w:rPr>
        <w:t>כשלהם</w:t>
      </w:r>
      <w:r w:rsidRPr="00DD7A9F">
        <w:rPr>
          <w:rFonts w:ascii="David" w:hAnsi="David"/>
          <w:rtl/>
        </w:rPr>
        <w:t xml:space="preserve"> </w:t>
      </w:r>
      <w:r w:rsidRPr="00DD7A9F">
        <w:rPr>
          <w:rFonts w:ascii="David" w:hAnsi="David" w:hint="eastAsia"/>
          <w:rtl/>
        </w:rPr>
        <w:t>לאחר</w:t>
      </w:r>
      <w:r w:rsidRPr="00DD7A9F">
        <w:rPr>
          <w:rFonts w:ascii="David" w:hAnsi="David"/>
          <w:rtl/>
        </w:rPr>
        <w:t xml:space="preserve"> </w:t>
      </w:r>
      <w:r w:rsidRPr="00DD7A9F">
        <w:rPr>
          <w:rFonts w:ascii="David" w:hAnsi="David" w:hint="eastAsia"/>
          <w:rtl/>
        </w:rPr>
        <w:t>אירוע</w:t>
      </w:r>
      <w:r w:rsidRPr="00DD7A9F">
        <w:rPr>
          <w:rFonts w:ascii="David" w:hAnsi="David"/>
          <w:rtl/>
        </w:rPr>
        <w:t xml:space="preserve"> </w:t>
      </w:r>
      <w:r w:rsidRPr="00DD7A9F">
        <w:rPr>
          <w:rFonts w:ascii="David" w:hAnsi="David" w:hint="eastAsia"/>
          <w:rtl/>
        </w:rPr>
        <w:t>התקיפה</w:t>
      </w:r>
      <w:r w:rsidRPr="00DD7A9F">
        <w:rPr>
          <w:rFonts w:ascii="David" w:hAnsi="David"/>
          <w:rtl/>
        </w:rPr>
        <w:t xml:space="preserve"> </w:t>
      </w:r>
      <w:r w:rsidRPr="00DD7A9F">
        <w:rPr>
          <w:rFonts w:ascii="David" w:hAnsi="David" w:hint="cs"/>
          <w:rtl/>
        </w:rPr>
        <w:t>הנטען</w:t>
      </w:r>
      <w:r w:rsidRPr="00DD7A9F">
        <w:rPr>
          <w:rFonts w:ascii="David" w:hAnsi="David"/>
          <w:rtl/>
        </w:rPr>
        <w:t xml:space="preserve"> </w:t>
      </w:r>
      <w:r w:rsidRPr="00DD7A9F">
        <w:rPr>
          <w:rFonts w:ascii="David" w:hAnsi="David" w:hint="eastAsia"/>
          <w:rtl/>
        </w:rPr>
        <w:t>כנגד</w:t>
      </w:r>
      <w:r w:rsidRPr="00DD7A9F">
        <w:rPr>
          <w:rFonts w:ascii="David" w:hAnsi="David"/>
          <w:rtl/>
        </w:rPr>
        <w:t xml:space="preserve"> </w:t>
      </w:r>
      <w:r w:rsidRPr="00DD7A9F">
        <w:rPr>
          <w:rFonts w:ascii="David" w:hAnsi="David" w:hint="eastAsia"/>
          <w:rtl/>
        </w:rPr>
        <w:t>המערערת</w:t>
      </w:r>
      <w:r w:rsidRPr="00DD7A9F">
        <w:rPr>
          <w:rFonts w:ascii="David" w:hAnsi="David"/>
          <w:rtl/>
        </w:rPr>
        <w:t xml:space="preserve">, </w:t>
      </w:r>
      <w:r w:rsidRPr="00DD7A9F">
        <w:rPr>
          <w:rFonts w:ascii="David" w:hAnsi="David" w:hint="eastAsia"/>
          <w:rtl/>
        </w:rPr>
        <w:t>וכי</w:t>
      </w:r>
      <w:r w:rsidRPr="00DD7A9F">
        <w:rPr>
          <w:rFonts w:ascii="David" w:hAnsi="David"/>
          <w:rtl/>
        </w:rPr>
        <w:t xml:space="preserve"> </w:t>
      </w:r>
      <w:r w:rsidRPr="00DD7A9F">
        <w:rPr>
          <w:rFonts w:ascii="David" w:hAnsi="David" w:hint="eastAsia"/>
          <w:rtl/>
        </w:rPr>
        <w:t>עניין</w:t>
      </w:r>
      <w:r w:rsidRPr="00DD7A9F">
        <w:rPr>
          <w:rFonts w:ascii="David" w:hAnsi="David"/>
          <w:rtl/>
        </w:rPr>
        <w:t xml:space="preserve"> </w:t>
      </w:r>
      <w:r w:rsidRPr="00DD7A9F">
        <w:rPr>
          <w:rFonts w:ascii="David" w:hAnsi="David" w:hint="eastAsia"/>
          <w:rtl/>
        </w:rPr>
        <w:t>זה</w:t>
      </w:r>
      <w:r w:rsidRPr="00DD7A9F">
        <w:rPr>
          <w:rFonts w:ascii="David" w:hAnsi="David"/>
          <w:rtl/>
        </w:rPr>
        <w:t xml:space="preserve"> </w:t>
      </w:r>
      <w:r w:rsidRPr="00DD7A9F">
        <w:rPr>
          <w:rFonts w:ascii="David" w:hAnsi="David" w:hint="eastAsia"/>
          <w:rtl/>
        </w:rPr>
        <w:t>יצר</w:t>
      </w:r>
      <w:r w:rsidRPr="00DD7A9F">
        <w:rPr>
          <w:rFonts w:ascii="David" w:hAnsi="David"/>
          <w:rtl/>
        </w:rPr>
        <w:t xml:space="preserve"> </w:t>
      </w:r>
      <w:r w:rsidRPr="00DD7A9F">
        <w:rPr>
          <w:rFonts w:ascii="David" w:hAnsi="David" w:hint="eastAsia"/>
          <w:rtl/>
        </w:rPr>
        <w:t>אצלם</w:t>
      </w:r>
      <w:r w:rsidRPr="00DD7A9F">
        <w:rPr>
          <w:rFonts w:ascii="David" w:hAnsi="David"/>
          <w:rtl/>
        </w:rPr>
        <w:t xml:space="preserve"> </w:t>
      </w:r>
      <w:r w:rsidRPr="00DD7A9F">
        <w:rPr>
          <w:rFonts w:ascii="David" w:hAnsi="David" w:hint="eastAsia"/>
          <w:rtl/>
        </w:rPr>
        <w:t>הסתמכות</w:t>
      </w:r>
      <w:r w:rsidRPr="00DD7A9F">
        <w:rPr>
          <w:rFonts w:ascii="David" w:hAnsi="David"/>
          <w:rtl/>
        </w:rPr>
        <w:t xml:space="preserve"> </w:t>
      </w:r>
      <w:r w:rsidRPr="00DD7A9F">
        <w:rPr>
          <w:rFonts w:ascii="David" w:hAnsi="David" w:hint="eastAsia"/>
          <w:rtl/>
        </w:rPr>
        <w:t>כי</w:t>
      </w:r>
      <w:r w:rsidRPr="00DD7A9F">
        <w:rPr>
          <w:rFonts w:ascii="David" w:hAnsi="David"/>
          <w:rtl/>
        </w:rPr>
        <w:t xml:space="preserve"> </w:t>
      </w:r>
      <w:r w:rsidRPr="00DD7A9F">
        <w:rPr>
          <w:rFonts w:ascii="David" w:hAnsi="David" w:hint="eastAsia"/>
          <w:rtl/>
        </w:rPr>
        <w:t>הרשות</w:t>
      </w:r>
      <w:r w:rsidRPr="00DD7A9F">
        <w:rPr>
          <w:rFonts w:ascii="David" w:hAnsi="David"/>
          <w:rtl/>
        </w:rPr>
        <w:t xml:space="preserve"> </w:t>
      </w:r>
      <w:r w:rsidRPr="00DD7A9F">
        <w:rPr>
          <w:rFonts w:ascii="David" w:hAnsi="David" w:hint="eastAsia"/>
          <w:rtl/>
        </w:rPr>
        <w:t>שניתנה</w:t>
      </w:r>
      <w:r w:rsidRPr="00DD7A9F">
        <w:rPr>
          <w:rFonts w:ascii="David" w:hAnsi="David"/>
          <w:rtl/>
        </w:rPr>
        <w:t xml:space="preserve"> </w:t>
      </w:r>
      <w:r w:rsidRPr="00DD7A9F">
        <w:rPr>
          <w:rFonts w:ascii="David" w:hAnsi="David" w:hint="eastAsia"/>
          <w:rtl/>
        </w:rPr>
        <w:t>להם</w:t>
      </w:r>
      <w:r w:rsidRPr="00DD7A9F">
        <w:rPr>
          <w:rFonts w:ascii="David" w:hAnsi="David"/>
          <w:rtl/>
        </w:rPr>
        <w:t xml:space="preserve"> </w:t>
      </w:r>
      <w:r w:rsidRPr="00DD7A9F">
        <w:rPr>
          <w:rFonts w:ascii="David" w:hAnsi="David" w:hint="eastAsia"/>
          <w:rtl/>
        </w:rPr>
        <w:t>הינה</w:t>
      </w:r>
      <w:r w:rsidRPr="00DD7A9F">
        <w:rPr>
          <w:rFonts w:ascii="David" w:hAnsi="David"/>
          <w:rtl/>
        </w:rPr>
        <w:t xml:space="preserve"> </w:t>
      </w:r>
      <w:r w:rsidRPr="00DD7A9F">
        <w:rPr>
          <w:rFonts w:ascii="David" w:hAnsi="David" w:hint="eastAsia"/>
          <w:rtl/>
        </w:rPr>
        <w:t>בלתי</w:t>
      </w:r>
      <w:r w:rsidRPr="00DD7A9F">
        <w:rPr>
          <w:rFonts w:ascii="David" w:hAnsi="David"/>
          <w:rtl/>
        </w:rPr>
        <w:t xml:space="preserve"> </w:t>
      </w:r>
      <w:r w:rsidRPr="00DD7A9F">
        <w:rPr>
          <w:rFonts w:ascii="David" w:hAnsi="David" w:hint="eastAsia"/>
          <w:rtl/>
        </w:rPr>
        <w:t>הדירה</w:t>
      </w:r>
      <w:r w:rsidRPr="00DD7A9F">
        <w:rPr>
          <w:rFonts w:ascii="David" w:hAnsi="David"/>
          <w:rtl/>
        </w:rPr>
        <w:t xml:space="preserve">, אחרת היו נשארים לגור בשכירות, דין טענה זו להידחות. בסעיפים 37-38 לפסק הדין קמא צוטטו דברי המערער מעדותו, שם נשאל מדוע לא עשה פעולות להבטחת המדור לכל חייו, כמו כן שם נלמד כי אירעו אירועי אלימות בין הצדדים בעבר, לרבות ריסוס המשיב בגז פלפל וגירוש המערערים מהבית לשנה וחצי. בית משפט קמא התייחס לדברים ששמע וקבע כי: </w:t>
      </w:r>
      <w:r w:rsidRPr="00DD7A9F">
        <w:rPr>
          <w:rFonts w:ascii="David" w:hAnsi="David"/>
          <w:b/>
          <w:bCs/>
          <w:rtl/>
        </w:rPr>
        <w:t>"הנתבעים לא הבהירו באם בעבר היו פניות מצדם לתובע בה ביקשו להסדיר את רישום הזכויות בבית או במקרקעין חרף קיומן של נסיבות שעל פי ההיגיון הבריא והשכל הישר היה ראוי ואף מתחייב מהנתבעים להגן על זכויותיהם הנטענות. אי נקיטת הליכים מתאימים במועדים הרלוונטיים יש בה להחליש טענות הנתבעים ולחזק טענות התובע."</w:t>
      </w:r>
    </w:p>
    <w:p w:rsidR="00B114FF" w:rsidRDefault="00DD7A9F" w:rsidP="00DD7A9F">
      <w:pPr>
        <w:pStyle w:val="ad"/>
        <w:spacing w:after="120" w:line="360" w:lineRule="auto"/>
        <w:ind w:left="283" w:hanging="360"/>
        <w:contextualSpacing w:val="0"/>
        <w:jc w:val="both"/>
        <w:rPr>
          <w:rFonts w:ascii="David" w:hAnsi="David"/>
        </w:rPr>
      </w:pPr>
      <w:r>
        <w:rPr>
          <w:rFonts w:ascii="David" w:hAnsi="David"/>
          <w:rtl/>
        </w:rPr>
        <w:tab/>
      </w:r>
      <w:r w:rsidR="00B114FF" w:rsidRPr="00094B57">
        <w:rPr>
          <w:rFonts w:ascii="David" w:hAnsi="David"/>
          <w:rtl/>
        </w:rPr>
        <w:t xml:space="preserve">דווקא נסיבות העבר יש בהם כדי לחזק </w:t>
      </w:r>
      <w:r w:rsidR="00B114FF" w:rsidRPr="00094B57">
        <w:rPr>
          <w:rFonts w:ascii="David" w:hAnsi="David" w:hint="cs"/>
          <w:rtl/>
        </w:rPr>
        <w:t xml:space="preserve">את </w:t>
      </w:r>
      <w:r w:rsidR="00B114FF" w:rsidRPr="00094B57">
        <w:rPr>
          <w:rFonts w:ascii="David" w:hAnsi="David"/>
          <w:rtl/>
        </w:rPr>
        <w:t xml:space="preserve">הסברה כי </w:t>
      </w:r>
      <w:r w:rsidR="00B114FF" w:rsidRPr="00094B57">
        <w:rPr>
          <w:rFonts w:ascii="David" w:hAnsi="David" w:hint="eastAsia"/>
          <w:rtl/>
        </w:rPr>
        <w:t>הלך</w:t>
      </w:r>
      <w:r w:rsidR="00B114FF" w:rsidRPr="00094B57">
        <w:rPr>
          <w:rFonts w:ascii="David" w:hAnsi="David"/>
          <w:rtl/>
        </w:rPr>
        <w:t xml:space="preserve"> </w:t>
      </w:r>
      <w:r w:rsidR="00B114FF" w:rsidRPr="00094B57">
        <w:rPr>
          <w:rFonts w:ascii="David" w:hAnsi="David" w:hint="eastAsia"/>
          <w:rtl/>
        </w:rPr>
        <w:t>הדברים</w:t>
      </w:r>
      <w:r w:rsidR="00B114FF" w:rsidRPr="00094B57">
        <w:rPr>
          <w:rFonts w:ascii="David" w:hAnsi="David"/>
          <w:rtl/>
        </w:rPr>
        <w:t xml:space="preserve"> בין הצדדים לא הי</w:t>
      </w:r>
      <w:r w:rsidR="00B114FF" w:rsidRPr="00094B57">
        <w:rPr>
          <w:rFonts w:ascii="David" w:hAnsi="David" w:hint="eastAsia"/>
          <w:rtl/>
        </w:rPr>
        <w:t>ה</w:t>
      </w:r>
      <w:r w:rsidR="00B114FF" w:rsidRPr="00094B57">
        <w:rPr>
          <w:rFonts w:ascii="David" w:hAnsi="David"/>
          <w:rtl/>
        </w:rPr>
        <w:t xml:space="preserve"> על מי מנוחות באופן </w:t>
      </w:r>
      <w:r w:rsidR="00B114FF" w:rsidRPr="00094B57">
        <w:rPr>
          <w:rFonts w:ascii="David" w:hAnsi="David" w:hint="eastAsia"/>
          <w:rtl/>
        </w:rPr>
        <w:t>כזה</w:t>
      </w:r>
      <w:r w:rsidR="00B114FF" w:rsidRPr="00094B57">
        <w:rPr>
          <w:rFonts w:ascii="David" w:hAnsi="David"/>
          <w:rtl/>
        </w:rPr>
        <w:t xml:space="preserve"> שיכול היה לחזק </w:t>
      </w:r>
      <w:r w:rsidR="00B114FF" w:rsidRPr="00094B57">
        <w:rPr>
          <w:rFonts w:ascii="David" w:hAnsi="David" w:hint="eastAsia"/>
          <w:rtl/>
        </w:rPr>
        <w:t>את</w:t>
      </w:r>
      <w:r w:rsidR="00B114FF" w:rsidRPr="00094B57">
        <w:rPr>
          <w:rFonts w:ascii="David" w:hAnsi="David"/>
          <w:rtl/>
        </w:rPr>
        <w:t xml:space="preserve"> </w:t>
      </w:r>
      <w:r w:rsidR="00B114FF" w:rsidRPr="00094B57">
        <w:rPr>
          <w:rFonts w:ascii="David" w:hAnsi="David" w:hint="eastAsia"/>
          <w:rtl/>
        </w:rPr>
        <w:t>טענת</w:t>
      </w:r>
      <w:r w:rsidR="00B114FF" w:rsidRPr="00094B57">
        <w:rPr>
          <w:rFonts w:ascii="David" w:hAnsi="David"/>
          <w:rtl/>
        </w:rPr>
        <w:t xml:space="preserve"> </w:t>
      </w:r>
      <w:r w:rsidR="00B114FF" w:rsidRPr="00094B57">
        <w:rPr>
          <w:rFonts w:ascii="David" w:hAnsi="David" w:hint="eastAsia"/>
          <w:rtl/>
        </w:rPr>
        <w:t>ההסתכמות</w:t>
      </w:r>
      <w:r w:rsidR="00B114FF" w:rsidRPr="00094B57">
        <w:rPr>
          <w:rFonts w:ascii="David" w:hAnsi="David" w:hint="cs"/>
          <w:rtl/>
        </w:rPr>
        <w:t xml:space="preserve"> ("</w:t>
      </w:r>
      <w:r w:rsidR="00B114FF" w:rsidRPr="00094B57">
        <w:rPr>
          <w:rFonts w:ascii="David" w:hAnsi="David" w:hint="cs"/>
          <w:b/>
          <w:bCs/>
          <w:rtl/>
        </w:rPr>
        <w:t>חרף קיומן שעל פי ההיגיון הבריא והשכל הישר היה ראוי ואף מתחייב מהנתבעים להגן על זכויותיהם הנטענות</w:t>
      </w:r>
      <w:r w:rsidR="00B114FF" w:rsidRPr="00094B57">
        <w:rPr>
          <w:rFonts w:ascii="David" w:hAnsi="David" w:hint="cs"/>
          <w:rtl/>
        </w:rPr>
        <w:t>")</w:t>
      </w:r>
      <w:r w:rsidR="00B114FF" w:rsidRPr="00094B57">
        <w:rPr>
          <w:rFonts w:ascii="David" w:hAnsi="David"/>
          <w:rtl/>
        </w:rPr>
        <w:t xml:space="preserve">, </w:t>
      </w:r>
      <w:r w:rsidR="00B114FF" w:rsidRPr="00094B57">
        <w:rPr>
          <w:rFonts w:ascii="David" w:hAnsi="David" w:hint="eastAsia"/>
          <w:rtl/>
        </w:rPr>
        <w:t>וכי</w:t>
      </w:r>
      <w:r w:rsidR="00B114FF" w:rsidRPr="00094B57">
        <w:rPr>
          <w:rFonts w:ascii="David" w:hAnsi="David"/>
          <w:rtl/>
        </w:rPr>
        <w:t xml:space="preserve"> </w:t>
      </w:r>
      <w:r w:rsidR="00B114FF" w:rsidRPr="00094B57">
        <w:rPr>
          <w:rFonts w:ascii="David" w:hAnsi="David" w:hint="eastAsia"/>
          <w:rtl/>
        </w:rPr>
        <w:t>למעשה</w:t>
      </w:r>
      <w:r w:rsidR="00B114FF" w:rsidRPr="00094B57">
        <w:rPr>
          <w:rFonts w:ascii="David" w:hAnsi="David"/>
          <w:rtl/>
        </w:rPr>
        <w:t xml:space="preserve"> </w:t>
      </w:r>
      <w:r w:rsidR="00B114FF" w:rsidRPr="00094B57">
        <w:rPr>
          <w:rFonts w:ascii="David" w:hAnsi="David" w:hint="eastAsia"/>
          <w:rtl/>
        </w:rPr>
        <w:t>הרישיון</w:t>
      </w:r>
      <w:r w:rsidR="00B114FF" w:rsidRPr="00094B57">
        <w:rPr>
          <w:rFonts w:ascii="David" w:hAnsi="David"/>
          <w:rtl/>
        </w:rPr>
        <w:t xml:space="preserve"> </w:t>
      </w:r>
      <w:r w:rsidR="00B114FF" w:rsidRPr="00094B57">
        <w:rPr>
          <w:rFonts w:ascii="David" w:hAnsi="David" w:hint="eastAsia"/>
          <w:rtl/>
        </w:rPr>
        <w:t>ניתן</w:t>
      </w:r>
      <w:r w:rsidR="00B114FF" w:rsidRPr="00094B57">
        <w:rPr>
          <w:rFonts w:ascii="David" w:hAnsi="David"/>
          <w:rtl/>
        </w:rPr>
        <w:t xml:space="preserve"> </w:t>
      </w:r>
      <w:r w:rsidR="00B114FF" w:rsidRPr="00094B57">
        <w:rPr>
          <w:rFonts w:ascii="David" w:hAnsi="David" w:hint="eastAsia"/>
          <w:rtl/>
        </w:rPr>
        <w:t>למערערים</w:t>
      </w:r>
      <w:r w:rsidR="00B114FF" w:rsidRPr="00094B57">
        <w:rPr>
          <w:rFonts w:ascii="David" w:hAnsi="David"/>
          <w:rtl/>
        </w:rPr>
        <w:t xml:space="preserve"> </w:t>
      </w:r>
      <w:r w:rsidR="00B114FF" w:rsidRPr="00094B57">
        <w:rPr>
          <w:rFonts w:ascii="David" w:hAnsi="David" w:hint="eastAsia"/>
          <w:rtl/>
        </w:rPr>
        <w:t>הינו</w:t>
      </w:r>
      <w:r w:rsidR="00B114FF" w:rsidRPr="00094B57">
        <w:rPr>
          <w:rFonts w:ascii="David" w:hAnsi="David"/>
          <w:rtl/>
        </w:rPr>
        <w:t xml:space="preserve"> </w:t>
      </w:r>
      <w:r w:rsidR="00B114FF" w:rsidRPr="00B52C5F">
        <w:rPr>
          <w:rFonts w:ascii="David" w:hAnsi="David"/>
          <w:u w:val="single"/>
          <w:rtl/>
        </w:rPr>
        <w:t>הדיר</w:t>
      </w:r>
      <w:r w:rsidR="00B114FF" w:rsidRPr="00094B57">
        <w:rPr>
          <w:rFonts w:ascii="David" w:hAnsi="David"/>
          <w:rtl/>
        </w:rPr>
        <w:t xml:space="preserve"> וניתן לביטול מצד המשיב. מסקנה אליה הגיע בית משפט קמא </w:t>
      </w:r>
      <w:r w:rsidR="00B114FF" w:rsidRPr="00094B57">
        <w:rPr>
          <w:rFonts w:ascii="David" w:hAnsi="David" w:hint="eastAsia"/>
          <w:rtl/>
        </w:rPr>
        <w:t>כאמור</w:t>
      </w:r>
      <w:r w:rsidR="00B114FF" w:rsidRPr="00094B57">
        <w:rPr>
          <w:rFonts w:ascii="David" w:hAnsi="David"/>
          <w:rtl/>
        </w:rPr>
        <w:t xml:space="preserve"> </w:t>
      </w:r>
      <w:r w:rsidR="00B114FF" w:rsidRPr="00094B57">
        <w:rPr>
          <w:rFonts w:ascii="David" w:hAnsi="David" w:hint="eastAsia"/>
          <w:rtl/>
        </w:rPr>
        <w:t>לעיל</w:t>
      </w:r>
      <w:r w:rsidR="00B114FF" w:rsidRPr="00094B57">
        <w:rPr>
          <w:rFonts w:ascii="David" w:hAnsi="David" w:hint="cs"/>
          <w:rtl/>
        </w:rPr>
        <w:t>.</w:t>
      </w:r>
    </w:p>
    <w:p w:rsidR="00B114FF" w:rsidRPr="00DD7A9F" w:rsidRDefault="00B114FF" w:rsidP="00B429DD">
      <w:pPr>
        <w:pStyle w:val="ad"/>
        <w:numPr>
          <w:ilvl w:val="0"/>
          <w:numId w:val="2"/>
        </w:numPr>
        <w:spacing w:after="120" w:line="360" w:lineRule="auto"/>
        <w:ind w:left="283"/>
        <w:contextualSpacing w:val="0"/>
        <w:jc w:val="both"/>
        <w:rPr>
          <w:rFonts w:ascii="David" w:hAnsi="David"/>
          <w:rtl/>
        </w:rPr>
      </w:pPr>
      <w:r w:rsidRPr="00DD7A9F">
        <w:rPr>
          <w:rFonts w:ascii="David" w:hAnsi="David" w:hint="cs"/>
          <w:color w:val="000000" w:themeColor="text1"/>
          <w:rtl/>
        </w:rPr>
        <w:t xml:space="preserve">טענת </w:t>
      </w:r>
      <w:r w:rsidRPr="00DD7A9F">
        <w:rPr>
          <w:rFonts w:ascii="David" w:hAnsi="David"/>
          <w:color w:val="000000" w:themeColor="text1"/>
          <w:rtl/>
        </w:rPr>
        <w:t xml:space="preserve">המערערים כי </w:t>
      </w:r>
      <w:r w:rsidRPr="00DD7A9F">
        <w:rPr>
          <w:rFonts w:ascii="David" w:hAnsi="David"/>
          <w:rtl/>
        </w:rPr>
        <w:t xml:space="preserve">בית משפט קמא שגה עת התעלם מתשריט המודד המחלק את המקרקעין לשלושה חלקים, כאשר אחד החלקים היה </w:t>
      </w:r>
      <w:r w:rsidRPr="00DD7A9F">
        <w:rPr>
          <w:rFonts w:ascii="David" w:hAnsi="David" w:hint="cs"/>
          <w:rtl/>
        </w:rPr>
        <w:t xml:space="preserve">לכאורה </w:t>
      </w:r>
      <w:r w:rsidRPr="00DD7A9F">
        <w:rPr>
          <w:rFonts w:ascii="David" w:hAnsi="David"/>
          <w:rtl/>
        </w:rPr>
        <w:t xml:space="preserve">מיוחס לו ולבעלותו, </w:t>
      </w:r>
      <w:r w:rsidRPr="00DD7A9F">
        <w:rPr>
          <w:rFonts w:ascii="David" w:hAnsi="David" w:hint="cs"/>
          <w:rtl/>
        </w:rPr>
        <w:t xml:space="preserve">אינה מדויקת. </w:t>
      </w:r>
      <w:r w:rsidRPr="00DD7A9F">
        <w:rPr>
          <w:rFonts w:ascii="David" w:hAnsi="David"/>
          <w:rtl/>
        </w:rPr>
        <w:t>בית משפט קמא התייחס לעניין זה בסעיף 50 לפסק דינו קמא, שעיקרו כדלקמן: "</w:t>
      </w:r>
      <w:r w:rsidRPr="00DD7A9F">
        <w:rPr>
          <w:rFonts w:ascii="David" w:hAnsi="David"/>
          <w:b/>
          <w:bCs/>
          <w:noProof w:val="0"/>
          <w:color w:val="000000" w:themeColor="text1"/>
          <w:rtl/>
        </w:rPr>
        <w:t>לא די בצירוף תשריט שתכליתו ומטרתו הינה הסדרת חלוקת השימוש בפועל במקרקעין. כאן המקום להדגיש כי התשריט לא הוגש לגוף ממשלתי כלשהו ולא צורף כנספח להסכם כלשהו שנערך בין התובע לבין הנתבעים</w:t>
      </w:r>
      <w:r w:rsidRPr="00DD7A9F">
        <w:rPr>
          <w:rFonts w:ascii="David" w:hAnsi="David"/>
          <w:b/>
          <w:bCs/>
          <w:color w:val="000000" w:themeColor="text1"/>
          <w:rtl/>
        </w:rPr>
        <w:t>"</w:t>
      </w:r>
      <w:r w:rsidRPr="00DD7A9F">
        <w:rPr>
          <w:rFonts w:ascii="David" w:hAnsi="David"/>
          <w:b/>
          <w:bCs/>
          <w:noProof w:val="0"/>
          <w:color w:val="000000" w:themeColor="text1"/>
          <w:rtl/>
        </w:rPr>
        <w:t>.</w:t>
      </w:r>
      <w:r w:rsidRPr="00DD7A9F">
        <w:rPr>
          <w:rFonts w:ascii="David" w:hAnsi="David"/>
          <w:noProof w:val="0"/>
          <w:color w:val="000000" w:themeColor="text1"/>
          <w:rtl/>
        </w:rPr>
        <w:t xml:space="preserve"> </w:t>
      </w:r>
      <w:r w:rsidRPr="00DD7A9F">
        <w:rPr>
          <w:rFonts w:ascii="David" w:hAnsi="David"/>
          <w:color w:val="000000" w:themeColor="text1"/>
          <w:rtl/>
        </w:rPr>
        <w:t xml:space="preserve"> </w:t>
      </w:r>
      <w:r w:rsidRPr="00DD7A9F">
        <w:rPr>
          <w:rFonts w:ascii="David" w:hAnsi="David" w:hint="cs"/>
          <w:color w:val="000000" w:themeColor="text1"/>
          <w:rtl/>
        </w:rPr>
        <w:t xml:space="preserve">דעתי כדעת בית משפט קמא. </w:t>
      </w:r>
    </w:p>
    <w:p w:rsidR="00B114FF" w:rsidRPr="00B52C5F" w:rsidRDefault="00B114FF" w:rsidP="002D2B3B">
      <w:pPr>
        <w:pStyle w:val="ad"/>
        <w:numPr>
          <w:ilvl w:val="0"/>
          <w:numId w:val="2"/>
        </w:numPr>
        <w:spacing w:after="120" w:line="360" w:lineRule="auto"/>
        <w:ind w:left="283"/>
        <w:contextualSpacing w:val="0"/>
        <w:jc w:val="both"/>
        <w:rPr>
          <w:rFonts w:ascii="David" w:hAnsi="David"/>
          <w:rtl/>
        </w:rPr>
      </w:pPr>
      <w:r w:rsidRPr="00B52C5F">
        <w:rPr>
          <w:rFonts w:ascii="David" w:hAnsi="David" w:hint="cs"/>
          <w:rtl/>
        </w:rPr>
        <w:t xml:space="preserve">סעיף 62 לפסק הדין קמא קובע כי מעיון בכתבי טענות הצדדים, לרבות סיכומיהם, ניתן ללמוד כי בין המערערים למשיב לא נערך כל מסמך בכתב או אסמכתא בכתב שנערכה מראש, אשר מכוחה ניתן לקבוע כי הרשות שניתנה למערערים הינה בלתי הדירה. </w:t>
      </w:r>
      <w:r w:rsidRPr="00B52C5F">
        <w:rPr>
          <w:rFonts w:ascii="David" w:hAnsi="David" w:hint="cs"/>
          <w:b/>
          <w:bCs/>
          <w:rtl/>
        </w:rPr>
        <w:t xml:space="preserve">המערערים לא הציגו בפניי מסמך בכתב או אסמכתא אחרת בכתב אשר מכוחה ניתן לקבוע כי בית משפט קמא שגה בקביעתו. </w:t>
      </w:r>
      <w:r w:rsidRPr="00B52C5F">
        <w:rPr>
          <w:rFonts w:ascii="David" w:hAnsi="David" w:hint="cs"/>
          <w:rtl/>
        </w:rPr>
        <w:t xml:space="preserve">בהיעדר הסכמה מפורשת בין המערערים למשיב, בכתב, נטל השכנוע הרובץ על המערערים נהפך כבד יותר, שכן כפי שנכתב בפסיקה ואף צוטט בפסק הדין קמא: </w:t>
      </w:r>
      <w:r w:rsidRPr="00B52C5F">
        <w:rPr>
          <w:rFonts w:ascii="David" w:hAnsi="David" w:hint="cs"/>
          <w:b/>
          <w:bCs/>
          <w:rtl/>
        </w:rPr>
        <w:t>"[...]" על מנת שרשות תהא בלתי הדירה ובלתי ניתנת לביטול תידרש הסכמה מפורשת מצד בעל הקניין לכך. הסקתה של רשות בלתי הדירה מכללא ומכוח הנסיבות בלבד, תיעשה במשנה זהירות ובנסיבות נדירות. [...]"</w:t>
      </w:r>
      <w:r w:rsidRPr="00B52C5F">
        <w:rPr>
          <w:rFonts w:ascii="David" w:hAnsi="David" w:hint="cs"/>
          <w:rtl/>
        </w:rPr>
        <w:t xml:space="preserve"> (</w:t>
      </w:r>
      <w:r w:rsidRPr="00B52C5F">
        <w:rPr>
          <w:rFonts w:ascii="David" w:hAnsi="David"/>
          <w:rtl/>
        </w:rPr>
        <w:t xml:space="preserve">עמ"ש (מחוזי מרכז) 37005-01-14 </w:t>
      </w:r>
      <w:r w:rsidRPr="00B52C5F">
        <w:rPr>
          <w:rFonts w:ascii="David" w:hAnsi="David"/>
          <w:b/>
          <w:bCs/>
          <w:rtl/>
        </w:rPr>
        <w:t>פלונים נ' פלוני</w:t>
      </w:r>
      <w:r w:rsidRPr="00B52C5F">
        <w:rPr>
          <w:rFonts w:ascii="David" w:hAnsi="David"/>
          <w:rtl/>
        </w:rPr>
        <w:t xml:space="preserve"> (נבו 30.12.2014)</w:t>
      </w:r>
      <w:r w:rsidRPr="00B52C5F">
        <w:rPr>
          <w:rFonts w:ascii="David" w:hAnsi="David" w:hint="cs"/>
          <w:rtl/>
        </w:rPr>
        <w:t xml:space="preserve"> והאסמתכאות המצוינות שם). </w:t>
      </w:r>
    </w:p>
    <w:p w:rsidR="00B114FF" w:rsidRPr="005925F3" w:rsidRDefault="00B114FF" w:rsidP="00372BB6">
      <w:pPr>
        <w:pStyle w:val="ad"/>
        <w:numPr>
          <w:ilvl w:val="0"/>
          <w:numId w:val="1"/>
        </w:numPr>
        <w:spacing w:after="120" w:line="360" w:lineRule="auto"/>
        <w:ind w:left="0" w:hanging="567"/>
        <w:contextualSpacing w:val="0"/>
        <w:jc w:val="both"/>
        <w:rPr>
          <w:rFonts w:ascii="David" w:hAnsi="David"/>
        </w:rPr>
      </w:pPr>
      <w:r w:rsidRPr="005925F3">
        <w:rPr>
          <w:rFonts w:ascii="David" w:hAnsi="David" w:hint="cs"/>
          <w:rtl/>
        </w:rPr>
        <w:t xml:space="preserve">לפני סיום - המערערים מנסים לתת נופך עקרוני לערעור, כי </w:t>
      </w:r>
      <w:r w:rsidRPr="005925F3">
        <w:rPr>
          <w:rFonts w:ascii="David" w:hAnsi="David" w:hint="eastAsia"/>
          <w:rtl/>
        </w:rPr>
        <w:t>הותרת</w:t>
      </w:r>
      <w:r w:rsidRPr="005925F3">
        <w:rPr>
          <w:rFonts w:ascii="David" w:hAnsi="David"/>
          <w:rtl/>
        </w:rPr>
        <w:t xml:space="preserve"> </w:t>
      </w:r>
      <w:r w:rsidRPr="005925F3">
        <w:rPr>
          <w:rFonts w:ascii="David" w:hAnsi="David" w:hint="eastAsia"/>
          <w:rtl/>
        </w:rPr>
        <w:t>פסק</w:t>
      </w:r>
      <w:r w:rsidRPr="005925F3">
        <w:rPr>
          <w:rFonts w:ascii="David" w:hAnsi="David"/>
          <w:rtl/>
        </w:rPr>
        <w:t xml:space="preserve"> </w:t>
      </w:r>
      <w:r w:rsidRPr="005925F3">
        <w:rPr>
          <w:rFonts w:ascii="David" w:hAnsi="David" w:hint="eastAsia"/>
          <w:rtl/>
        </w:rPr>
        <w:t>הדין</w:t>
      </w:r>
      <w:r w:rsidRPr="005925F3">
        <w:rPr>
          <w:rFonts w:ascii="David" w:hAnsi="David"/>
          <w:rtl/>
        </w:rPr>
        <w:t xml:space="preserve"> </w:t>
      </w:r>
      <w:r w:rsidRPr="005925F3">
        <w:rPr>
          <w:rFonts w:ascii="David" w:hAnsi="David" w:hint="eastAsia"/>
          <w:rtl/>
        </w:rPr>
        <w:t>קמא</w:t>
      </w:r>
      <w:r w:rsidRPr="005925F3">
        <w:rPr>
          <w:rFonts w:ascii="David" w:hAnsi="David"/>
          <w:rtl/>
        </w:rPr>
        <w:t xml:space="preserve"> </w:t>
      </w:r>
      <w:r w:rsidRPr="005925F3">
        <w:rPr>
          <w:rFonts w:ascii="David" w:hAnsi="David" w:hint="eastAsia"/>
          <w:rtl/>
        </w:rPr>
        <w:t>בעינו</w:t>
      </w:r>
      <w:r w:rsidRPr="005925F3">
        <w:rPr>
          <w:rFonts w:ascii="David" w:hAnsi="David"/>
          <w:rtl/>
        </w:rPr>
        <w:t xml:space="preserve"> </w:t>
      </w:r>
      <w:r w:rsidRPr="005925F3">
        <w:rPr>
          <w:rFonts w:ascii="David" w:hAnsi="David" w:hint="eastAsia"/>
          <w:rtl/>
        </w:rPr>
        <w:t>יוביל</w:t>
      </w:r>
      <w:r w:rsidRPr="005925F3">
        <w:rPr>
          <w:rFonts w:ascii="David" w:hAnsi="David"/>
          <w:rtl/>
        </w:rPr>
        <w:t xml:space="preserve"> </w:t>
      </w:r>
      <w:r w:rsidRPr="005925F3">
        <w:rPr>
          <w:rFonts w:ascii="David" w:hAnsi="David" w:hint="eastAsia"/>
          <w:rtl/>
        </w:rPr>
        <w:t>ל</w:t>
      </w:r>
      <w:r w:rsidRPr="005925F3">
        <w:rPr>
          <w:rFonts w:ascii="David" w:hAnsi="David"/>
          <w:rtl/>
        </w:rPr>
        <w:t>"</w:t>
      </w:r>
      <w:r w:rsidRPr="005925F3">
        <w:rPr>
          <w:rFonts w:ascii="David" w:hAnsi="David" w:hint="eastAsia"/>
          <w:rtl/>
        </w:rPr>
        <w:t>כאוס</w:t>
      </w:r>
      <w:r w:rsidRPr="005925F3">
        <w:rPr>
          <w:rFonts w:ascii="David" w:hAnsi="David"/>
          <w:rtl/>
        </w:rPr>
        <w:t xml:space="preserve"> </w:t>
      </w:r>
      <w:r w:rsidRPr="005925F3">
        <w:rPr>
          <w:rFonts w:ascii="David" w:hAnsi="David" w:hint="eastAsia"/>
          <w:rtl/>
        </w:rPr>
        <w:t>בחברה</w:t>
      </w:r>
      <w:r w:rsidRPr="005925F3">
        <w:rPr>
          <w:rFonts w:ascii="David" w:hAnsi="David"/>
          <w:rtl/>
        </w:rPr>
        <w:t xml:space="preserve"> </w:t>
      </w:r>
      <w:r w:rsidRPr="005925F3">
        <w:rPr>
          <w:rFonts w:ascii="David" w:hAnsi="David" w:hint="eastAsia"/>
          <w:rtl/>
        </w:rPr>
        <w:t>הדרוזית</w:t>
      </w:r>
      <w:r w:rsidRPr="005925F3">
        <w:rPr>
          <w:rFonts w:ascii="David" w:hAnsi="David"/>
          <w:rtl/>
        </w:rPr>
        <w:t>", לחלופין בכל מגזר חברתי אחר במדינה</w:t>
      </w:r>
      <w:r w:rsidRPr="005925F3">
        <w:rPr>
          <w:rFonts w:ascii="David" w:hAnsi="David" w:hint="cs"/>
          <w:rtl/>
        </w:rPr>
        <w:t xml:space="preserve"> </w:t>
      </w:r>
      <w:r w:rsidRPr="005925F3">
        <w:rPr>
          <w:rFonts w:ascii="David" w:hAnsi="David"/>
          <w:rtl/>
        </w:rPr>
        <w:t xml:space="preserve">(ציטוט </w:t>
      </w:r>
      <w:r w:rsidRPr="005925F3">
        <w:rPr>
          <w:rFonts w:ascii="David" w:hAnsi="David" w:hint="cs"/>
          <w:rtl/>
        </w:rPr>
        <w:t>מ</w:t>
      </w:r>
      <w:r w:rsidRPr="005925F3">
        <w:rPr>
          <w:rFonts w:ascii="David" w:hAnsi="David"/>
          <w:rtl/>
        </w:rPr>
        <w:t xml:space="preserve">סעיף </w:t>
      </w:r>
      <w:r w:rsidRPr="005925F3">
        <w:rPr>
          <w:rFonts w:ascii="David" w:hAnsi="David" w:hint="cs"/>
          <w:rtl/>
        </w:rPr>
        <w:t>62 להודעת הערעור</w:t>
      </w:r>
      <w:r w:rsidRPr="005925F3">
        <w:rPr>
          <w:rFonts w:ascii="David" w:hAnsi="David"/>
          <w:rtl/>
        </w:rPr>
        <w:t xml:space="preserve">) </w:t>
      </w:r>
      <w:r w:rsidRPr="005925F3">
        <w:rPr>
          <w:rFonts w:ascii="David" w:hAnsi="David" w:hint="eastAsia"/>
          <w:rtl/>
        </w:rPr>
        <w:t>נהפוך</w:t>
      </w:r>
      <w:r w:rsidRPr="005925F3">
        <w:rPr>
          <w:rFonts w:ascii="David" w:hAnsi="David"/>
          <w:rtl/>
        </w:rPr>
        <w:t xml:space="preserve"> הוא,</w:t>
      </w:r>
      <w:r w:rsidRPr="005925F3">
        <w:rPr>
          <w:rFonts w:ascii="David" w:hAnsi="David" w:hint="cs"/>
          <w:rtl/>
        </w:rPr>
        <w:t xml:space="preserve"> כפי שנקבע בעמ"ש</w:t>
      </w:r>
      <w:r w:rsidRPr="005925F3">
        <w:rPr>
          <w:rFonts w:ascii="David" w:hAnsi="David"/>
          <w:rtl/>
        </w:rPr>
        <w:t xml:space="preserve"> (מחוזי חיפה) 4194-10-17 </w:t>
      </w:r>
      <w:r w:rsidRPr="005925F3">
        <w:rPr>
          <w:rFonts w:ascii="David" w:hAnsi="David"/>
          <w:b/>
          <w:bCs/>
          <w:rtl/>
        </w:rPr>
        <w:t xml:space="preserve">ע' ח' נ' ר' </w:t>
      </w:r>
      <w:r w:rsidRPr="005925F3">
        <w:rPr>
          <w:rFonts w:ascii="David" w:hAnsi="David" w:hint="eastAsia"/>
          <w:b/>
          <w:bCs/>
          <w:rtl/>
        </w:rPr>
        <w:t>ח</w:t>
      </w:r>
      <w:r w:rsidRPr="005925F3">
        <w:rPr>
          <w:rFonts w:ascii="David" w:hAnsi="David"/>
          <w:b/>
          <w:bCs/>
          <w:rtl/>
        </w:rPr>
        <w:t>'</w:t>
      </w:r>
      <w:r w:rsidRPr="005925F3">
        <w:rPr>
          <w:rFonts w:ascii="David" w:hAnsi="David"/>
        </w:rPr>
        <w:t> </w:t>
      </w:r>
      <w:r w:rsidRPr="005925F3">
        <w:rPr>
          <w:rFonts w:ascii="David" w:hAnsi="David"/>
          <w:rtl/>
        </w:rPr>
        <w:t>(נבו 08.01.2019)‏‏.</w:t>
      </w:r>
      <w:r w:rsidRPr="005925F3">
        <w:rPr>
          <w:rFonts w:ascii="David" w:hAnsi="David" w:hint="cs"/>
          <w:rtl/>
        </w:rPr>
        <w:t xml:space="preserve"> גם בחברה מסורתית</w:t>
      </w:r>
      <w:r w:rsidRPr="005925F3">
        <w:rPr>
          <w:rFonts w:ascii="David" w:hAnsi="David" w:hint="cs"/>
          <w:b/>
          <w:bCs/>
          <w:rtl/>
        </w:rPr>
        <w:t xml:space="preserve"> "על פי פסיקת בית המשפט העליון </w:t>
      </w:r>
      <w:r w:rsidRPr="005925F3">
        <w:rPr>
          <w:rFonts w:ascii="David" w:hAnsi="David"/>
          <w:b/>
          <w:bCs/>
          <w:rtl/>
        </w:rPr>
        <w:t xml:space="preserve"> יש להכתיב נורמה אחידה ללא מקום להתחשב במגוון תרבותי חברתי הקיים </w:t>
      </w:r>
      <w:r w:rsidRPr="005925F3">
        <w:rPr>
          <w:rFonts w:ascii="David" w:hAnsi="David"/>
          <w:b/>
          <w:bCs/>
          <w:rtl/>
        </w:rPr>
        <w:lastRenderedPageBreak/>
        <w:t xml:space="preserve">בישראל. ייתכן כי דרך זו יוצרת קשיים בטווח המיידי אך כמו נורמות אחרות, היא תחלחל עם הזמן לתודעתם של אותם זוגות ותוביל לעיגון הציפיות והפיכתן לזכויות אכיפות, בין אם על דרך רישום זכויות במרשם המקרקעין ובין אם </w:t>
      </w:r>
      <w:r w:rsidRPr="005925F3">
        <w:rPr>
          <w:rFonts w:ascii="David" w:hAnsi="David" w:hint="eastAsia"/>
          <w:b/>
          <w:bCs/>
          <w:rtl/>
        </w:rPr>
        <w:t>במסגרת</w:t>
      </w:r>
      <w:r w:rsidRPr="005925F3">
        <w:rPr>
          <w:rFonts w:ascii="David" w:hAnsi="David"/>
          <w:b/>
          <w:bCs/>
          <w:rtl/>
        </w:rPr>
        <w:t xml:space="preserve"> הסכמות ברורה</w:t>
      </w:r>
      <w:r w:rsidRPr="005925F3">
        <w:rPr>
          <w:rFonts w:ascii="David" w:hAnsi="David" w:hint="cs"/>
          <w:b/>
          <w:bCs/>
          <w:rtl/>
        </w:rPr>
        <w:t>"</w:t>
      </w:r>
      <w:r w:rsidRPr="005925F3">
        <w:rPr>
          <w:rFonts w:ascii="David" w:hAnsi="David"/>
          <w:b/>
          <w:bCs/>
          <w:rtl/>
        </w:rPr>
        <w:t xml:space="preserve"> וכתובה.</w:t>
      </w:r>
      <w:r w:rsidRPr="005925F3">
        <w:rPr>
          <w:rFonts w:ascii="David" w:hAnsi="David"/>
          <w:rtl/>
        </w:rPr>
        <w:t xml:space="preserve"> ומכאן שאין בטענה </w:t>
      </w:r>
      <w:r w:rsidRPr="005925F3">
        <w:rPr>
          <w:rFonts w:ascii="David" w:hAnsi="David" w:hint="eastAsia"/>
          <w:rtl/>
        </w:rPr>
        <w:t>כללית</w:t>
      </w:r>
      <w:r w:rsidRPr="005925F3">
        <w:rPr>
          <w:rFonts w:ascii="David" w:hAnsi="David"/>
          <w:rtl/>
        </w:rPr>
        <w:t xml:space="preserve"> </w:t>
      </w:r>
      <w:r w:rsidRPr="005925F3">
        <w:rPr>
          <w:rFonts w:ascii="David" w:hAnsi="David" w:hint="eastAsia"/>
          <w:rtl/>
        </w:rPr>
        <w:t>זו</w:t>
      </w:r>
      <w:r w:rsidRPr="005925F3">
        <w:rPr>
          <w:rFonts w:ascii="David" w:hAnsi="David"/>
          <w:rtl/>
        </w:rPr>
        <w:t xml:space="preserve">,  </w:t>
      </w:r>
      <w:r w:rsidRPr="005925F3">
        <w:rPr>
          <w:rFonts w:ascii="David" w:hAnsi="David" w:hint="eastAsia"/>
          <w:rtl/>
        </w:rPr>
        <w:t>כדי</w:t>
      </w:r>
      <w:r w:rsidRPr="005925F3">
        <w:rPr>
          <w:rFonts w:ascii="David" w:hAnsi="David"/>
          <w:rtl/>
        </w:rPr>
        <w:t xml:space="preserve"> </w:t>
      </w:r>
      <w:r w:rsidRPr="005925F3">
        <w:rPr>
          <w:rFonts w:ascii="David" w:hAnsi="David" w:hint="eastAsia"/>
          <w:rtl/>
        </w:rPr>
        <w:t>להוות</w:t>
      </w:r>
      <w:r w:rsidRPr="005925F3">
        <w:rPr>
          <w:rFonts w:ascii="David" w:hAnsi="David"/>
          <w:rtl/>
        </w:rPr>
        <w:t xml:space="preserve"> </w:t>
      </w:r>
      <w:r w:rsidRPr="005925F3">
        <w:rPr>
          <w:rFonts w:ascii="David" w:hAnsi="David" w:hint="eastAsia"/>
          <w:rtl/>
        </w:rPr>
        <w:t>טיעון</w:t>
      </w:r>
      <w:r w:rsidRPr="005925F3">
        <w:rPr>
          <w:rFonts w:ascii="David" w:hAnsi="David"/>
          <w:rtl/>
        </w:rPr>
        <w:t xml:space="preserve"> </w:t>
      </w:r>
      <w:r w:rsidRPr="005925F3">
        <w:rPr>
          <w:rFonts w:ascii="David" w:hAnsi="David" w:hint="eastAsia"/>
          <w:rtl/>
        </w:rPr>
        <w:t>ראוי</w:t>
      </w:r>
      <w:r w:rsidRPr="005925F3">
        <w:rPr>
          <w:rFonts w:ascii="David" w:hAnsi="David"/>
          <w:rtl/>
        </w:rPr>
        <w:t xml:space="preserve"> </w:t>
      </w:r>
      <w:r w:rsidRPr="005925F3">
        <w:rPr>
          <w:rFonts w:ascii="David" w:hAnsi="David" w:hint="cs"/>
          <w:rtl/>
        </w:rPr>
        <w:t>להתערבות בפסק הדין קמא.</w:t>
      </w:r>
    </w:p>
    <w:p w:rsidR="00B114FF" w:rsidRPr="00DD7A9F" w:rsidRDefault="00B114FF" w:rsidP="002342AB">
      <w:pPr>
        <w:pStyle w:val="ad"/>
        <w:numPr>
          <w:ilvl w:val="0"/>
          <w:numId w:val="1"/>
        </w:numPr>
        <w:spacing w:after="120" w:line="360" w:lineRule="auto"/>
        <w:ind w:left="0" w:hanging="567"/>
        <w:contextualSpacing w:val="0"/>
        <w:jc w:val="both"/>
        <w:rPr>
          <w:rFonts w:ascii="David" w:hAnsi="David"/>
          <w:rtl/>
        </w:rPr>
      </w:pPr>
      <w:r w:rsidRPr="00DD7A9F">
        <w:rPr>
          <w:rFonts w:ascii="David" w:hAnsi="David"/>
          <w:u w:val="single"/>
          <w:rtl/>
        </w:rPr>
        <w:t>בצד האמור לעיל, אציע לחבריי להרכב להוסיף לפסק הדין קמא את ההערה הבאה</w:t>
      </w:r>
      <w:r w:rsidRPr="00DD7A9F">
        <w:rPr>
          <w:rFonts w:ascii="David" w:hAnsi="David"/>
          <w:rtl/>
        </w:rPr>
        <w:t xml:space="preserve">: </w:t>
      </w:r>
    </w:p>
    <w:p w:rsidR="00B114FF" w:rsidRDefault="00DD7A9F" w:rsidP="00DD7A9F">
      <w:pPr>
        <w:pStyle w:val="ad"/>
        <w:spacing w:after="120" w:line="360" w:lineRule="auto"/>
        <w:ind w:left="0" w:hanging="567"/>
        <w:contextualSpacing w:val="0"/>
        <w:jc w:val="both"/>
        <w:rPr>
          <w:rFonts w:ascii="David" w:hAnsi="David"/>
          <w:rtl/>
        </w:rPr>
      </w:pPr>
      <w:r>
        <w:rPr>
          <w:rFonts w:ascii="David" w:hAnsi="David"/>
          <w:rtl/>
        </w:rPr>
        <w:tab/>
      </w:r>
      <w:r w:rsidR="00B114FF" w:rsidRPr="00315B09">
        <w:rPr>
          <w:rFonts w:ascii="David" w:hAnsi="David"/>
          <w:rtl/>
        </w:rPr>
        <w:t>ככל שיגישו המערערים, סמוך למתן פסק דין זה, תביעה לבית משפט קמא להשבת השבחות והשקעות שביצעו בבית וכן בקשה להתנות את הפינוי בהפקדה כספית של המשיב, לא יהיה מנוע בית משפט קמא להיעתר לבקשה, לחלופין לדחותה, ולפעול כפי חוכמתו, אך מחמת מעשה בי-דין.</w:t>
      </w:r>
    </w:p>
    <w:p w:rsidR="00B114FF" w:rsidRPr="00315B09" w:rsidRDefault="00DD7A9F" w:rsidP="00DD7A9F">
      <w:pPr>
        <w:pStyle w:val="ad"/>
        <w:spacing w:after="120" w:line="360" w:lineRule="auto"/>
        <w:ind w:left="0" w:hanging="567"/>
        <w:contextualSpacing w:val="0"/>
        <w:jc w:val="both"/>
        <w:rPr>
          <w:rFonts w:ascii="David" w:hAnsi="David"/>
        </w:rPr>
      </w:pPr>
      <w:r>
        <w:rPr>
          <w:rFonts w:ascii="David" w:hAnsi="David"/>
          <w:rtl/>
        </w:rPr>
        <w:tab/>
      </w:r>
      <w:r w:rsidR="00B114FF">
        <w:rPr>
          <w:rFonts w:ascii="David" w:hAnsi="David"/>
          <w:rtl/>
        </w:rPr>
        <w:t>תוספת זו</w:t>
      </w:r>
      <w:r w:rsidR="00B114FF">
        <w:rPr>
          <w:rFonts w:ascii="David" w:hAnsi="David" w:hint="cs"/>
          <w:rtl/>
        </w:rPr>
        <w:t xml:space="preserve">, ראויה לטעמי כאשר אין מחלוקת כי </w:t>
      </w:r>
      <w:r w:rsidR="00B114FF" w:rsidRPr="00315B09">
        <w:rPr>
          <w:rFonts w:ascii="David" w:hAnsi="David"/>
          <w:rtl/>
        </w:rPr>
        <w:t>המערערים התגוררו בבית למעלה מ-16 שנה (מאז נישואיהם ב-2008)</w:t>
      </w:r>
      <w:r w:rsidR="00B114FF">
        <w:rPr>
          <w:rFonts w:ascii="David" w:hAnsi="David" w:hint="cs"/>
          <w:rtl/>
        </w:rPr>
        <w:t xml:space="preserve"> והיא עולה בקנה אחד עם</w:t>
      </w:r>
      <w:r w:rsidR="00B114FF" w:rsidRPr="00315B09">
        <w:rPr>
          <w:rFonts w:ascii="David" w:hAnsi="David"/>
          <w:rtl/>
        </w:rPr>
        <w:t xml:space="preserve"> ההלכות המשפטיות עליהן נסמך בית משפט קמא כי ניתן לבטל את הרשות בכפוף להענקת צדק ותום </w:t>
      </w:r>
      <w:r w:rsidR="00B114FF">
        <w:rPr>
          <w:rFonts w:ascii="David" w:hAnsi="David"/>
          <w:rtl/>
        </w:rPr>
        <w:t>לב (סעיפים 64-70 לפסק הדין קמא)</w:t>
      </w:r>
      <w:r w:rsidR="00B114FF">
        <w:rPr>
          <w:rFonts w:ascii="David" w:hAnsi="David" w:hint="cs"/>
          <w:rtl/>
        </w:rPr>
        <w:t xml:space="preserve">; וכן על קביעתו של בית משפט קמא </w:t>
      </w:r>
      <w:r w:rsidR="00B114FF">
        <w:rPr>
          <w:rFonts w:ascii="David" w:hAnsi="David"/>
          <w:rtl/>
        </w:rPr>
        <w:t xml:space="preserve">כי על </w:t>
      </w:r>
      <w:r w:rsidR="00B114FF">
        <w:rPr>
          <w:rFonts w:ascii="David" w:hAnsi="David" w:hint="cs"/>
          <w:rtl/>
        </w:rPr>
        <w:t>ה</w:t>
      </w:r>
      <w:r w:rsidR="00B114FF" w:rsidRPr="00315B09">
        <w:rPr>
          <w:rFonts w:ascii="David" w:hAnsi="David"/>
          <w:rtl/>
        </w:rPr>
        <w:t>מערערים למצות את זכותם להשבת השקעותיהם</w:t>
      </w:r>
      <w:r w:rsidR="00B114FF">
        <w:rPr>
          <w:rFonts w:ascii="David" w:hAnsi="David" w:hint="cs"/>
          <w:rtl/>
        </w:rPr>
        <w:t>,</w:t>
      </w:r>
      <w:r w:rsidR="00B114FF" w:rsidRPr="00315B09">
        <w:rPr>
          <w:rFonts w:ascii="David" w:hAnsi="David"/>
          <w:rtl/>
        </w:rPr>
        <w:t xml:space="preserve"> וכי ממצאיו בפסק דין אינם מהווים מעשה בית דין בתביעה להשבת השקעות/השבחות. </w:t>
      </w:r>
    </w:p>
    <w:p w:rsidR="00694556" w:rsidRDefault="00B114FF" w:rsidP="005925F3">
      <w:pPr>
        <w:pStyle w:val="ad"/>
        <w:numPr>
          <w:ilvl w:val="0"/>
          <w:numId w:val="1"/>
        </w:numPr>
        <w:spacing w:after="120" w:line="360" w:lineRule="auto"/>
        <w:ind w:left="-58" w:hanging="567"/>
        <w:contextualSpacing w:val="0"/>
        <w:jc w:val="both"/>
        <w:rPr>
          <w:rFonts w:ascii="Arial" w:hAnsi="Arial"/>
          <w:noProof w:val="0"/>
        </w:rPr>
      </w:pPr>
      <w:r w:rsidRPr="002D2B3B">
        <w:rPr>
          <w:rFonts w:ascii="David" w:hAnsi="David" w:hint="cs"/>
          <w:rtl/>
        </w:rPr>
        <w:t>סוף דבר, אציע לחבריי להרכב לדחות את הערעור בכפוף להערה בסעיף 19 לעיל תוך חיוב המערערים בתשלום הוצאות ושכ"ט עו"ד המשיב בסך של 10,000</w:t>
      </w:r>
      <w:r w:rsidR="005925F3">
        <w:rPr>
          <w:rFonts w:ascii="David" w:hAnsi="David" w:hint="cs"/>
          <w:rtl/>
        </w:rPr>
        <w:t xml:space="preserve"> ₪ אשר ישולמו מסכום</w:t>
      </w:r>
      <w:r w:rsidRPr="002D2B3B">
        <w:rPr>
          <w:rFonts w:ascii="David" w:hAnsi="David" w:hint="cs"/>
          <w:rtl/>
        </w:rPr>
        <w:t xml:space="preserve"> הפיקדון שהופקד בתיק.</w:t>
      </w:r>
    </w:p>
    <w:p w:rsidR="005925F3" w:rsidRDefault="005925F3" w:rsidP="005925F3">
      <w:pPr>
        <w:spacing w:after="120" w:line="360" w:lineRule="auto"/>
        <w:ind w:hanging="567"/>
        <w:jc w:val="both"/>
        <w:rPr>
          <w:rFonts w:ascii="Arial" w:hAnsi="Arial"/>
          <w:noProof w:val="0"/>
          <w:rtl/>
        </w:rPr>
      </w:pPr>
    </w:p>
    <w:p w:rsidR="005925F3" w:rsidRDefault="005925F3" w:rsidP="005925F3">
      <w:pPr>
        <w:spacing w:after="120" w:line="360" w:lineRule="auto"/>
        <w:ind w:left="-142"/>
        <w:jc w:val="both"/>
        <w:rPr>
          <w:rFonts w:ascii="Arial" w:hAnsi="Arial"/>
          <w:noProof w:val="0"/>
          <w:rtl/>
        </w:rPr>
      </w:pPr>
      <w:r w:rsidRPr="005925F3">
        <w:rPr>
          <w:rFonts w:ascii="Arial" w:hAnsi="Arial" w:hint="cs"/>
          <w:b/>
          <w:bCs/>
          <w:noProof w:val="0"/>
          <w:u w:val="single"/>
          <w:rtl/>
        </w:rPr>
        <w:t>השופט חננאל שרעבי, אב</w:t>
      </w:r>
      <w:r>
        <w:rPr>
          <w:rFonts w:ascii="Arial" w:hAnsi="Arial" w:hint="cs"/>
          <w:b/>
          <w:bCs/>
          <w:noProof w:val="0"/>
          <w:u w:val="single"/>
          <w:rtl/>
        </w:rPr>
        <w:t>"</w:t>
      </w:r>
      <w:r w:rsidRPr="005925F3">
        <w:rPr>
          <w:rFonts w:ascii="Arial" w:hAnsi="Arial" w:hint="cs"/>
          <w:b/>
          <w:bCs/>
          <w:noProof w:val="0"/>
          <w:u w:val="single"/>
          <w:rtl/>
        </w:rPr>
        <w:t>ד</w:t>
      </w:r>
      <w:r>
        <w:rPr>
          <w:rFonts w:ascii="Arial" w:hAnsi="Arial" w:hint="cs"/>
          <w:noProof w:val="0"/>
          <w:rtl/>
        </w:rPr>
        <w:t>:</w:t>
      </w:r>
    </w:p>
    <w:p w:rsidR="005925F3" w:rsidRDefault="005925F3" w:rsidP="005925F3">
      <w:pPr>
        <w:spacing w:after="120" w:line="360" w:lineRule="auto"/>
        <w:ind w:left="-142"/>
        <w:jc w:val="both"/>
        <w:rPr>
          <w:rFonts w:ascii="Arial" w:hAnsi="Arial"/>
          <w:noProof w:val="0"/>
          <w:rtl/>
        </w:rPr>
      </w:pPr>
      <w:r>
        <w:rPr>
          <w:rFonts w:ascii="Arial" w:hAnsi="Arial" w:hint="cs"/>
          <w:noProof w:val="0"/>
          <w:rtl/>
        </w:rPr>
        <w:t>אני מסכים.</w:t>
      </w:r>
    </w:p>
    <w:p w:rsidR="005925F3" w:rsidRDefault="005925F3" w:rsidP="005925F3">
      <w:pPr>
        <w:spacing w:after="120" w:line="360" w:lineRule="auto"/>
        <w:ind w:left="-142"/>
        <w:jc w:val="both"/>
        <w:rPr>
          <w:rFonts w:ascii="Arial" w:hAnsi="Arial"/>
          <w:noProof w:val="0"/>
          <w:rtl/>
        </w:rPr>
      </w:pPr>
    </w:p>
    <w:p w:rsidR="005925F3" w:rsidRDefault="005925F3" w:rsidP="005925F3">
      <w:pPr>
        <w:spacing w:after="120" w:line="360" w:lineRule="auto"/>
        <w:ind w:left="-142"/>
        <w:jc w:val="both"/>
        <w:rPr>
          <w:rFonts w:ascii="Arial" w:hAnsi="Arial"/>
          <w:noProof w:val="0"/>
          <w:rtl/>
        </w:rPr>
      </w:pPr>
      <w:r w:rsidRPr="005925F3">
        <w:rPr>
          <w:rFonts w:ascii="Arial" w:hAnsi="Arial" w:hint="cs"/>
          <w:b/>
          <w:bCs/>
          <w:noProof w:val="0"/>
          <w:u w:val="single"/>
          <w:rtl/>
        </w:rPr>
        <w:t>השופט אריה נאמן</w:t>
      </w:r>
      <w:r>
        <w:rPr>
          <w:rFonts w:ascii="Arial" w:hAnsi="Arial" w:hint="cs"/>
          <w:noProof w:val="0"/>
          <w:rtl/>
        </w:rPr>
        <w:t>:</w:t>
      </w:r>
    </w:p>
    <w:p w:rsidR="005925F3" w:rsidRDefault="005925F3" w:rsidP="005925F3">
      <w:pPr>
        <w:spacing w:after="120" w:line="360" w:lineRule="auto"/>
        <w:ind w:left="-142"/>
        <w:jc w:val="both"/>
        <w:rPr>
          <w:rFonts w:ascii="Arial" w:hAnsi="Arial"/>
          <w:noProof w:val="0"/>
          <w:rtl/>
        </w:rPr>
      </w:pPr>
      <w:r>
        <w:rPr>
          <w:rFonts w:ascii="Arial" w:hAnsi="Arial" w:hint="cs"/>
          <w:noProof w:val="0"/>
          <w:rtl/>
        </w:rPr>
        <w:t>אני מסכים.</w:t>
      </w:r>
    </w:p>
    <w:p w:rsidR="005925F3" w:rsidRDefault="005925F3" w:rsidP="005925F3">
      <w:pPr>
        <w:spacing w:after="120" w:line="360" w:lineRule="auto"/>
        <w:jc w:val="both"/>
        <w:rPr>
          <w:rFonts w:ascii="Arial" w:hAnsi="Arial"/>
          <w:noProof w:val="0"/>
          <w:rtl/>
        </w:rPr>
      </w:pPr>
    </w:p>
    <w:p w:rsidR="009F6098" w:rsidRDefault="005925F3" w:rsidP="00DC5E81">
      <w:pPr>
        <w:pStyle w:val="ad"/>
        <w:numPr>
          <w:ilvl w:val="0"/>
          <w:numId w:val="1"/>
        </w:numPr>
        <w:spacing w:after="120" w:line="360" w:lineRule="auto"/>
        <w:ind w:left="-58" w:hanging="567"/>
        <w:contextualSpacing w:val="0"/>
        <w:jc w:val="both"/>
        <w:rPr>
          <w:rFonts w:ascii="Arial" w:hAnsi="Arial"/>
          <w:noProof w:val="0"/>
        </w:rPr>
      </w:pPr>
      <w:r w:rsidRPr="009F6098">
        <w:rPr>
          <w:rFonts w:ascii="Arial" w:hAnsi="Arial" w:hint="cs"/>
          <w:b/>
          <w:bCs/>
          <w:noProof w:val="0"/>
          <w:rtl/>
        </w:rPr>
        <w:t xml:space="preserve">הוחלט פה </w:t>
      </w:r>
      <w:r w:rsidR="00DC5E81">
        <w:rPr>
          <w:rFonts w:ascii="Arial" w:hAnsi="Arial" w:hint="cs"/>
          <w:b/>
          <w:bCs/>
          <w:noProof w:val="0"/>
          <w:rtl/>
        </w:rPr>
        <w:t xml:space="preserve">אחד על דחיית הערעור כאמור בסעיפים 19-20 </w:t>
      </w:r>
      <w:r w:rsidRPr="009F6098">
        <w:rPr>
          <w:rFonts w:ascii="Arial" w:hAnsi="Arial" w:hint="cs"/>
          <w:b/>
          <w:bCs/>
          <w:noProof w:val="0"/>
          <w:rtl/>
        </w:rPr>
        <w:t>לפסק דינה של השופטת אלון</w:t>
      </w:r>
      <w:r>
        <w:rPr>
          <w:rFonts w:ascii="Arial" w:hAnsi="Arial" w:hint="cs"/>
          <w:noProof w:val="0"/>
          <w:rtl/>
        </w:rPr>
        <w:t xml:space="preserve">. </w:t>
      </w:r>
    </w:p>
    <w:p w:rsidR="005925F3" w:rsidRDefault="005925F3" w:rsidP="009F6098">
      <w:pPr>
        <w:pStyle w:val="ad"/>
        <w:spacing w:after="120" w:line="360" w:lineRule="auto"/>
        <w:ind w:left="-58"/>
        <w:contextualSpacing w:val="0"/>
        <w:jc w:val="both"/>
        <w:rPr>
          <w:rFonts w:ascii="Arial" w:hAnsi="Arial"/>
          <w:noProof w:val="0"/>
          <w:rtl/>
        </w:rPr>
      </w:pPr>
      <w:r w:rsidRPr="009F6098">
        <w:rPr>
          <w:rFonts w:ascii="Arial" w:hAnsi="Arial" w:hint="cs"/>
          <w:noProof w:val="0"/>
          <w:rtl/>
        </w:rPr>
        <w:t xml:space="preserve">המערערים יישאו </w:t>
      </w:r>
      <w:r w:rsidRPr="009F6098">
        <w:rPr>
          <w:rFonts w:ascii="David" w:hAnsi="David" w:hint="cs"/>
          <w:rtl/>
        </w:rPr>
        <w:t>בתשלום הוצאות</w:t>
      </w:r>
      <w:r w:rsidR="00387917">
        <w:rPr>
          <w:rFonts w:ascii="David" w:hAnsi="David" w:hint="cs"/>
          <w:rtl/>
        </w:rPr>
        <w:t xml:space="preserve"> הערעור</w:t>
      </w:r>
      <w:r w:rsidRPr="009F6098">
        <w:rPr>
          <w:rFonts w:ascii="David" w:hAnsi="David" w:hint="cs"/>
          <w:rtl/>
        </w:rPr>
        <w:t xml:space="preserve"> ושכ"ט עו"ד המשיב בסך</w:t>
      </w:r>
      <w:r w:rsidR="00387917">
        <w:rPr>
          <w:rFonts w:ascii="David" w:hAnsi="David" w:hint="cs"/>
          <w:rtl/>
        </w:rPr>
        <w:t xml:space="preserve"> כולל</w:t>
      </w:r>
      <w:r w:rsidRPr="009F6098">
        <w:rPr>
          <w:rFonts w:ascii="David" w:hAnsi="David" w:hint="cs"/>
          <w:rtl/>
        </w:rPr>
        <w:t xml:space="preserve"> של 10,000 ₪, אשר ישולמו מסכום הפיקדון שהופקד בתיק.</w:t>
      </w:r>
      <w:r w:rsidRPr="009F6098">
        <w:rPr>
          <w:rFonts w:ascii="Arial" w:hAnsi="Arial" w:hint="cs"/>
          <w:noProof w:val="0"/>
          <w:rtl/>
        </w:rPr>
        <w:t xml:space="preserve"> יתרת הערבון תוחזר למערערים באמצעות בא כוחם. </w:t>
      </w:r>
    </w:p>
    <w:p w:rsidR="009F6098" w:rsidRPr="009F6098" w:rsidRDefault="009F6098" w:rsidP="009F6098">
      <w:pPr>
        <w:pStyle w:val="ad"/>
        <w:spacing w:after="120" w:line="360" w:lineRule="auto"/>
        <w:ind w:left="-58"/>
        <w:contextualSpacing w:val="0"/>
        <w:jc w:val="both"/>
        <w:rPr>
          <w:rFonts w:ascii="Arial" w:hAnsi="Arial"/>
          <w:noProof w:val="0"/>
        </w:rPr>
      </w:pPr>
    </w:p>
    <w:p w:rsidR="005925F3" w:rsidRDefault="005925F3" w:rsidP="005925F3">
      <w:pPr>
        <w:spacing w:after="120" w:line="360" w:lineRule="auto"/>
        <w:jc w:val="both"/>
        <w:rPr>
          <w:rFonts w:ascii="Arial" w:hAnsi="Arial"/>
          <w:b/>
          <w:bCs/>
          <w:noProof w:val="0"/>
          <w:rtl/>
        </w:rPr>
      </w:pPr>
      <w:r w:rsidRPr="005925F3">
        <w:rPr>
          <w:rFonts w:ascii="Arial" w:hAnsi="Arial" w:hint="cs"/>
          <w:b/>
          <w:bCs/>
          <w:noProof w:val="0"/>
          <w:rtl/>
        </w:rPr>
        <w:t>המזכירות תעביר פסק דין זה לצדדים.</w:t>
      </w:r>
    </w:p>
    <w:p w:rsidR="009F6098" w:rsidRDefault="009F6098" w:rsidP="005925F3">
      <w:pPr>
        <w:spacing w:after="120" w:line="360" w:lineRule="auto"/>
        <w:jc w:val="both"/>
        <w:rPr>
          <w:rFonts w:ascii="Arial" w:hAnsi="Arial"/>
          <w:b/>
          <w:bCs/>
          <w:noProof w:val="0"/>
          <w:rtl/>
        </w:rPr>
      </w:pPr>
    </w:p>
    <w:p w:rsidR="009F6098" w:rsidRDefault="009F6098" w:rsidP="005925F3">
      <w:pPr>
        <w:spacing w:after="120" w:line="360" w:lineRule="auto"/>
        <w:jc w:val="both"/>
        <w:rPr>
          <w:rFonts w:ascii="Arial" w:hAnsi="Arial"/>
          <w:b/>
          <w:bCs/>
          <w:noProof w:val="0"/>
          <w:rtl/>
        </w:rPr>
      </w:pPr>
    </w:p>
    <w:p w:rsidR="005925F3" w:rsidRDefault="005925F3" w:rsidP="005925F3">
      <w:pPr>
        <w:spacing w:after="120" w:line="360" w:lineRule="auto"/>
        <w:jc w:val="both"/>
        <w:rPr>
          <w:rFonts w:ascii="Arial" w:hAnsi="Arial"/>
          <w:b/>
          <w:bCs/>
          <w:noProof w:val="0"/>
          <w:rtl/>
        </w:rPr>
      </w:pPr>
      <w:r w:rsidRPr="005925F3">
        <w:rPr>
          <w:rFonts w:ascii="Arial" w:hAnsi="Arial" w:hint="cs"/>
          <w:b/>
          <w:bCs/>
          <w:noProof w:val="0"/>
          <w:rtl/>
        </w:rPr>
        <w:t xml:space="preserve">פסק דין זה מותר לפרסום, תוך השמטת שמות הצדדים וכל פרט מזהה אחר. </w:t>
      </w:r>
    </w:p>
    <w:p w:rsidR="009F6098" w:rsidRDefault="009F6098" w:rsidP="005925F3">
      <w:pPr>
        <w:spacing w:after="120" w:line="360" w:lineRule="auto"/>
        <w:jc w:val="both"/>
        <w:rPr>
          <w:rFonts w:ascii="Arial" w:hAnsi="Arial"/>
          <w:b/>
          <w:bCs/>
          <w:noProof w:val="0"/>
          <w:rtl/>
        </w:rPr>
      </w:pPr>
    </w:p>
    <w:p w:rsidR="009F6098" w:rsidRPr="005925F3" w:rsidRDefault="009F6098" w:rsidP="005925F3">
      <w:pPr>
        <w:spacing w:after="120" w:line="360" w:lineRule="auto"/>
        <w:jc w:val="both"/>
        <w:rPr>
          <w:rFonts w:ascii="Arial" w:hAnsi="Arial"/>
          <w:b/>
          <w:bCs/>
          <w:noProof w:val="0"/>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ספטמבר 2024</w:t>
          </w:r>
        </w:sdtContent>
      </w:sdt>
      <w:r w:rsidR="00005C8B">
        <w:rPr>
          <w:rFonts w:ascii="Arial" w:hAnsi="Arial"/>
          <w:noProof w:val="0"/>
          <w:rtl/>
        </w:rPr>
        <w:t>, בהעדר הצדדים.</w:t>
      </w:r>
    </w:p>
    <w:p w:rsidR="001F2449" w:rsidRDefault="001F2449" w:rsidP="00860102">
      <w:pPr>
        <w:spacing w:line="360" w:lineRule="auto"/>
        <w:jc w:val="both"/>
        <w:rPr>
          <w:rFonts w:ascii="Arial" w:hAnsi="Arial"/>
          <w:noProof w:val="0"/>
          <w:rtl/>
        </w:rPr>
      </w:pPr>
    </w:p>
    <w:p w:rsidR="009F6098" w:rsidRDefault="009F6098" w:rsidP="00860102">
      <w:pPr>
        <w:spacing w:line="360" w:lineRule="auto"/>
        <w:jc w:val="both"/>
        <w:rPr>
          <w:rFonts w:ascii="Arial" w:hAnsi="Arial"/>
          <w:noProof w:val="0"/>
          <w:rtl/>
        </w:rPr>
      </w:pPr>
    </w:p>
    <w:p w:rsidR="009F6098" w:rsidRDefault="009F6098" w:rsidP="00860102">
      <w:pPr>
        <w:spacing w:line="360" w:lineRule="auto"/>
        <w:jc w:val="both"/>
        <w:rPr>
          <w:rFonts w:ascii="Arial" w:hAnsi="Arial"/>
          <w:noProof w:val="0"/>
          <w:rtl/>
        </w:rPr>
      </w:pPr>
    </w:p>
    <w:p w:rsidR="009F6098" w:rsidRPr="00EC12BC" w:rsidRDefault="009F6098"/>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9F6098" w:rsidRPr="00EC12BC" w:rsidTr="000210FB">
        <w:tc>
          <w:tcPr>
            <w:tcW w:w="2796" w:type="dxa"/>
            <w:tcBorders>
              <w:top w:val="nil"/>
              <w:left w:val="nil"/>
              <w:bottom w:val="single" w:sz="4" w:space="0" w:color="auto"/>
              <w:right w:val="nil"/>
            </w:tcBorders>
            <w:vAlign w:val="bottom"/>
          </w:tcPr>
          <w:p w:rsidR="009F6098" w:rsidRPr="00EC12BC" w:rsidRDefault="009F6098"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6341" cy="847284"/>
                          </a:xfrm>
                          <a:prstGeom prst="rect">
                            <a:avLst/>
                          </a:prstGeom>
                        </pic:spPr>
                      </pic:pic>
                    </a:graphicData>
                  </a:graphic>
                </wp:inline>
              </w:drawing>
            </w:r>
          </w:p>
        </w:tc>
        <w:tc>
          <w:tcPr>
            <w:tcW w:w="354" w:type="dxa"/>
            <w:vAlign w:val="bottom"/>
          </w:tcPr>
          <w:p w:rsidR="009F6098" w:rsidRPr="00EC12BC" w:rsidRDefault="009F6098"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9F6098" w:rsidRPr="00EC12BC" w:rsidRDefault="009F6098"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9F6098" w:rsidRPr="00EC12BC" w:rsidRDefault="009F6098"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9F6098" w:rsidRPr="00EC12BC" w:rsidRDefault="009F6098"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2">
                            <a:extLst>
                              <a:ext uri="{BEBA8EAE-BF5A-486C-A8C5-ECC9F3942E4B}">
                                <a14:imgProps xmlns:a14="http://schemas.microsoft.com/office/drawing/2010/main">
                                  <a14:imgLayer r:embed="rId13">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9F6098" w:rsidRPr="00EC12BC" w:rsidTr="000210FB">
        <w:tc>
          <w:tcPr>
            <w:tcW w:w="2796" w:type="dxa"/>
            <w:tcBorders>
              <w:top w:val="single" w:sz="4" w:space="0" w:color="auto"/>
              <w:left w:val="nil"/>
              <w:bottom w:val="nil"/>
              <w:right w:val="nil"/>
            </w:tcBorders>
          </w:tcPr>
          <w:p w:rsidR="009F6098" w:rsidRDefault="009F6098" w:rsidP="00BB162B">
            <w:pPr>
              <w:jc w:val="center"/>
              <w:rPr>
                <w:b/>
                <w:bCs/>
                <w:rtl/>
              </w:rPr>
            </w:pPr>
            <w:r>
              <w:rPr>
                <w:rFonts w:hint="cs"/>
                <w:b/>
                <w:bCs/>
                <w:rtl/>
              </w:rPr>
              <w:t>ח. שרעבי, שופט</w:t>
            </w:r>
          </w:p>
          <w:p w:rsidR="009F6098" w:rsidRPr="00EC12BC" w:rsidRDefault="009F6098" w:rsidP="00BB162B">
            <w:pPr>
              <w:jc w:val="center"/>
              <w:rPr>
                <w:b/>
                <w:bCs/>
              </w:rPr>
            </w:pPr>
            <w:r>
              <w:rPr>
                <w:rFonts w:hint="cs"/>
                <w:b/>
                <w:bCs/>
                <w:rtl/>
              </w:rPr>
              <w:t>אב"ד</w:t>
            </w:r>
          </w:p>
        </w:tc>
        <w:tc>
          <w:tcPr>
            <w:tcW w:w="354" w:type="dxa"/>
          </w:tcPr>
          <w:p w:rsidR="009F6098" w:rsidRPr="00EC12BC" w:rsidRDefault="009F6098" w:rsidP="00BB162B">
            <w:pPr>
              <w:spacing w:line="360" w:lineRule="auto"/>
              <w:rPr>
                <w:b/>
                <w:bCs/>
                <w:color w:val="FF0000"/>
              </w:rPr>
            </w:pPr>
          </w:p>
        </w:tc>
        <w:tc>
          <w:tcPr>
            <w:tcW w:w="2312" w:type="dxa"/>
            <w:tcBorders>
              <w:top w:val="single" w:sz="4" w:space="0" w:color="auto"/>
              <w:left w:val="nil"/>
              <w:bottom w:val="nil"/>
              <w:right w:val="nil"/>
            </w:tcBorders>
          </w:tcPr>
          <w:p w:rsidR="009F6098" w:rsidRPr="00EC12BC" w:rsidRDefault="009F6098" w:rsidP="00BB162B">
            <w:pPr>
              <w:spacing w:line="360" w:lineRule="auto"/>
              <w:jc w:val="center"/>
              <w:rPr>
                <w:b/>
                <w:bCs/>
              </w:rPr>
            </w:pPr>
            <w:r>
              <w:rPr>
                <w:rFonts w:hint="cs"/>
                <w:b/>
                <w:bCs/>
                <w:rtl/>
              </w:rPr>
              <w:t>א. אלון, שופטת</w:t>
            </w:r>
          </w:p>
        </w:tc>
        <w:tc>
          <w:tcPr>
            <w:tcW w:w="341" w:type="dxa"/>
          </w:tcPr>
          <w:p w:rsidR="009F6098" w:rsidRPr="00EC12BC" w:rsidRDefault="009F6098" w:rsidP="00BB162B">
            <w:pPr>
              <w:spacing w:line="360" w:lineRule="auto"/>
              <w:rPr>
                <w:b/>
                <w:bCs/>
                <w:color w:val="FF0000"/>
              </w:rPr>
            </w:pPr>
          </w:p>
        </w:tc>
        <w:tc>
          <w:tcPr>
            <w:tcW w:w="2503" w:type="dxa"/>
            <w:tcBorders>
              <w:top w:val="single" w:sz="4" w:space="0" w:color="auto"/>
              <w:left w:val="nil"/>
              <w:bottom w:val="nil"/>
              <w:right w:val="nil"/>
            </w:tcBorders>
          </w:tcPr>
          <w:p w:rsidR="009F6098" w:rsidRPr="00EC12BC" w:rsidRDefault="009F6098" w:rsidP="00BB162B">
            <w:pPr>
              <w:spacing w:line="360" w:lineRule="auto"/>
              <w:jc w:val="center"/>
              <w:rPr>
                <w:b/>
                <w:bCs/>
                <w:rtl/>
              </w:rPr>
            </w:pPr>
            <w:r>
              <w:rPr>
                <w:rFonts w:hint="cs"/>
                <w:b/>
                <w:bCs/>
                <w:rtl/>
              </w:rPr>
              <w:t>א. נאמן, שופט</w:t>
            </w:r>
          </w:p>
        </w:tc>
      </w:tr>
    </w:tbl>
    <w:p w:rsidR="00694556" w:rsidRDefault="00BD6531" w:rsidP="00B114FF">
      <w:pPr>
        <w:tabs>
          <w:tab w:val="left" w:pos="2553"/>
        </w:tabs>
        <w:rPr>
          <w:rFonts w:ascii="Arial" w:hAnsi="Arial"/>
          <w:noProof w:val="0"/>
          <w:rtl/>
        </w:rPr>
      </w:pPr>
      <w:r>
        <w:rPr>
          <w:rFonts w:hint="cs"/>
          <w:rtl/>
        </w:rPr>
        <w:tab/>
      </w:r>
      <w:r>
        <w:rPr>
          <w:rFonts w:hint="cs"/>
          <w:rtl/>
        </w:rPr>
        <w:tab/>
      </w:r>
      <w:r>
        <w:rPr>
          <w:rFonts w:hint="cs"/>
          <w:rtl/>
        </w:rPr>
        <w:tab/>
        <w:t xml:space="preserve">        </w:t>
      </w:r>
    </w:p>
    <w:sectPr w:rsidR="00694556" w:rsidSect="002D2B3B">
      <w:headerReference w:type="even" r:id="rId14"/>
      <w:headerReference w:type="default" r:id="rId15"/>
      <w:footerReference w:type="even" r:id="rId16"/>
      <w:footerReference w:type="default" r:id="rId17"/>
      <w:headerReference w:type="first" r:id="rId18"/>
      <w:footerReference w:type="first" r:id="rId19"/>
      <w:pgSz w:w="11907" w:h="16840" w:code="9"/>
      <w:pgMar w:top="1440" w:right="1559"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A08" w:rsidRDefault="00076A08">
      <w:r>
        <w:separator/>
      </w:r>
    </w:p>
  </w:endnote>
  <w:endnote w:type="continuationSeparator" w:id="0">
    <w:p w:rsidR="00076A08" w:rsidRDefault="0007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77" w:rsidRDefault="00F05D7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F05D77">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F05D77">
      <w:rPr>
        <w:rStyle w:val="ab"/>
        <w:rFonts w:ascii="David" w:hAnsi="David"/>
        <w:rtl/>
      </w:rPr>
      <w:t>8</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77" w:rsidRDefault="00F05D7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A08" w:rsidRDefault="00076A08">
      <w:r>
        <w:separator/>
      </w:r>
    </w:p>
  </w:footnote>
  <w:footnote w:type="continuationSeparator" w:id="0">
    <w:p w:rsidR="00076A08" w:rsidRDefault="00076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77" w:rsidRDefault="00F05D7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05D77"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bookmarkStart w:id="2" w:name="_GoBack"/>
          <w:sdt>
            <w:sdtPr>
              <w:rPr>
                <w:rtl/>
              </w:rPr>
              <w:alias w:val="1171"/>
              <w:tag w:val="1171"/>
              <w:id w:val="257034231"/>
              <w:text w:multiLine="1"/>
            </w:sdtPr>
            <w:sdtEndPr/>
            <w:sdtContent>
              <w:r w:rsidR="00424313">
                <w:rPr>
                  <w:b/>
                  <w:bCs/>
                  <w:noProof w:val="0"/>
                  <w:sz w:val="26"/>
                  <w:szCs w:val="26"/>
                  <w:rtl/>
                </w:rPr>
                <w:t>48431-03-24</w:t>
              </w:r>
            </w:sdtContent>
          </w:sdt>
          <w:bookmarkEnd w:id="2"/>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3569BA">
                <w:rPr>
                  <w:b/>
                  <w:bCs/>
                  <w:noProof w:val="0"/>
                  <w:sz w:val="26"/>
                  <w:szCs w:val="26"/>
                  <w:rtl/>
                </w:rPr>
                <w:t>מ</w:t>
              </w:r>
              <w:r w:rsidR="003569BA">
                <w:rPr>
                  <w:rFonts w:hint="cs"/>
                  <w:b/>
                  <w:bCs/>
                  <w:noProof w:val="0"/>
                  <w:sz w:val="26"/>
                  <w:szCs w:val="26"/>
                  <w:rtl/>
                </w:rPr>
                <w:t>'</w:t>
              </w:r>
              <w:r w:rsidR="003569BA">
                <w:rPr>
                  <w:b/>
                  <w:bCs/>
                  <w:noProof w:val="0"/>
                  <w:sz w:val="26"/>
                  <w:szCs w:val="26"/>
                  <w:rtl/>
                </w:rPr>
                <w:t xml:space="preserve"> ואח' נ' מ</w:t>
              </w:r>
              <w:r w:rsidR="003569BA">
                <w:rPr>
                  <w:rFonts w:hint="cs"/>
                  <w:b/>
                  <w:bCs/>
                  <w:noProof w:val="0"/>
                  <w:sz w:val="26"/>
                  <w:szCs w:val="26"/>
                  <w:rtl/>
                </w:rPr>
                <w:t>'</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D77" w:rsidRDefault="00F05D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9A5B99"/>
    <w:multiLevelType w:val="hybridMultilevel"/>
    <w:tmpl w:val="552CC9C2"/>
    <w:lvl w:ilvl="0" w:tplc="BB4CD33E">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F92F80"/>
    <w:multiLevelType w:val="hybridMultilevel"/>
    <w:tmpl w:val="BC84C3E0"/>
    <w:lvl w:ilvl="0" w:tplc="F35A4364">
      <w:start w:val="1"/>
      <w:numFmt w:val="hebrew1"/>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903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90399&amp;lt;/CaseID&amp;gt;_x000d__x000a_        &amp;lt;CaseMonth&amp;gt;3&amp;lt;/CaseMonth&amp;gt;_x000d__x000a_        &amp;lt;CaseYear&amp;gt;2024&amp;lt;/CaseYear&amp;gt;_x000d__x000a_        &amp;lt;CaseNumber&amp;gt;48431&amp;lt;/CaseNumber&amp;gt;_x000d__x000a_        &amp;lt;NumeratorGroupID&amp;gt;1&amp;lt;/NumeratorGroupID&amp;gt;_x000d__x000a_        &amp;lt;CaseName&amp;gt;מועדי ואח&amp;#39; נ&amp;#39; מועדי&amp;lt;/CaseName&amp;gt;_x000d__x000a_        &amp;lt;CourtID&amp;gt;13&amp;lt;/CourtID&amp;gt;_x000d__x000a_        &amp;lt;CaseTypeID&amp;gt;63&amp;lt;/CaseTypeID&amp;gt;_x000d__x000a_        &amp;lt;CaseInterestID&amp;gt;67&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8431-03-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3-20T13:55: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6.9&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90399&amp;lt;/CaseID&amp;gt;_x000d__x000a_        &amp;lt;CaseMonth&amp;gt;3&amp;lt;/CaseMonth&amp;gt;_x000d__x000a_        &amp;lt;CaseYear&amp;gt;2024&amp;lt;/CaseYear&amp;gt;_x000d__x000a_        &amp;lt;CaseNumber&amp;gt;48431&amp;lt;/CaseNumber&amp;gt;_x000d__x000a_        &amp;lt;NumeratorGroupID&amp;gt;1&amp;lt;/NumeratorGroupID&amp;gt;_x000d__x000a_        &amp;lt;CaseName&amp;gt;מועדי ואח&amp;#39; נ&amp;#39; מועדי&amp;lt;/CaseName&amp;gt;_x000d__x000a_        &amp;lt;CourtID&amp;gt;13&amp;lt;/CourtID&amp;gt;_x000d__x000a_        &amp;lt;CaseTypeID&amp;gt;63&amp;lt;/CaseTypeID&amp;gt;_x000d__x000a_        &amp;lt;CaseInterestID&amp;gt;67&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8431-03-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4-03-20T13:55: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6.9&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74336&amp;lt;/DecisionID&amp;gt;_x000d__x000a_        &amp;lt;DecisionName&amp;gt;פסק דין  שניתנה ע&amp;quot;י  חננאל שרעבי&amp;lt;/DecisionName&amp;gt;_x000d__x000a_        &amp;lt;DecisionStatusID&amp;gt;1&amp;lt;/DecisionStatusID&amp;gt;_x000d__x000a_        &amp;lt;DecisionStatusChangeDate&amp;gt;2024-09-23T10:03:35.227+03:00&amp;lt;/DecisionStatusChangeDate&amp;gt;_x000d__x000a_        &amp;lt;DecisionSignatureDate&amp;gt;2024-09-23T09:35:35.613+03:00&amp;lt;/DecisionSignatureDate&amp;gt;_x000d__x000a_        &amp;lt;DecisionSignatureUserID&amp;gt;056479827@GOV.IL&amp;lt;/DecisionSignatureUserID&amp;gt;_x000d__x000a_        &amp;lt;DecisionCreateDate&amp;gt;2024-09-23T09:40:53.59+03:00&amp;lt;/DecisionCreateDate&amp;gt;_x000d__x000a_        &amp;lt;DecisionChangeDate&amp;gt;2024-09-23T10:03:35.83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94844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5074336&amp;lt;/DecisionID&amp;gt;_x000d__x000a_        &amp;lt;CaseID&amp;gt;81090399&amp;lt;/CaseID&amp;gt;_x000d__x000a_        &amp;lt;IsOriginal&amp;gt;true&amp;lt;/IsOriginal&amp;gt;_x000d__x000a_        &amp;lt;IsDeleted&amp;gt;false&amp;lt;/IsDeleted&amp;gt;_x000d__x000a_        &amp;lt;CaseName&amp;gt;מועדי ואח&amp;#39; נ&amp;#39; מועדי&amp;lt;/CaseName&amp;gt;_x000d__x000a_        &amp;lt;CaseDisplayIdentifier&amp;gt;48431-03-24 עמ&amp;quot;ש&amp;lt;/CaseDisplayIdentifier&amp;gt;_x000d__x000a_      &amp;lt;/dt_DecisionCase&amp;gt;_x000d__x000a_      &amp;lt;dt_DecisionJudgePanel diffgr:id=&amp;quot;dt_DecisionJudgePanel1&amp;quot; msdata:rowOrder=&amp;quot;0&amp;quot;&amp;gt;_x000d__x000a_        &amp;lt;DecisionID&amp;gt;155074336&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5074336&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5074336&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55074336"/>
    <w:docVar w:name="docID" w:val="455948446"/>
    <w:docVar w:name="judgeUPN" w:val="056479827@GOV.IL"/>
    <w:docVar w:name="NGCS.TemplateCaseInterestID" w:val="67"/>
    <w:docVar w:name="NGCS.TemplateCaseTypeID" w:val="63"/>
    <w:docVar w:name="NGCS.TemplateCourtID" w:val="13"/>
    <w:docVar w:name="NGCS.TemplateProceedingID" w:val="14"/>
    <w:docVar w:name="noteDocID" w:val="455948446"/>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76A08"/>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9346B"/>
    <w:rsid w:val="001C4003"/>
    <w:rsid w:val="001D4DBF"/>
    <w:rsid w:val="001E75CA"/>
    <w:rsid w:val="001F2449"/>
    <w:rsid w:val="002265FF"/>
    <w:rsid w:val="00271B56"/>
    <w:rsid w:val="00272E32"/>
    <w:rsid w:val="002C344E"/>
    <w:rsid w:val="002D2B3B"/>
    <w:rsid w:val="002E75E9"/>
    <w:rsid w:val="002F0B1E"/>
    <w:rsid w:val="00303431"/>
    <w:rsid w:val="00307A6A"/>
    <w:rsid w:val="00307C40"/>
    <w:rsid w:val="00311E21"/>
    <w:rsid w:val="00320433"/>
    <w:rsid w:val="003230C7"/>
    <w:rsid w:val="00327E50"/>
    <w:rsid w:val="0033597A"/>
    <w:rsid w:val="00343D89"/>
    <w:rsid w:val="003569BA"/>
    <w:rsid w:val="00362612"/>
    <w:rsid w:val="0036743F"/>
    <w:rsid w:val="003715DD"/>
    <w:rsid w:val="003823E0"/>
    <w:rsid w:val="00387917"/>
    <w:rsid w:val="00390EA8"/>
    <w:rsid w:val="003A4521"/>
    <w:rsid w:val="003D1C8C"/>
    <w:rsid w:val="003E38C7"/>
    <w:rsid w:val="0040096C"/>
    <w:rsid w:val="00414F1F"/>
    <w:rsid w:val="00422BEE"/>
    <w:rsid w:val="00424313"/>
    <w:rsid w:val="0043125D"/>
    <w:rsid w:val="0043278C"/>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925F3"/>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30892"/>
    <w:rsid w:val="00844318"/>
    <w:rsid w:val="0085227C"/>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E7844"/>
    <w:rsid w:val="009F164B"/>
    <w:rsid w:val="009F323C"/>
    <w:rsid w:val="009F6098"/>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114FF"/>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48A8"/>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C5E81"/>
    <w:rsid w:val="00DD05A8"/>
    <w:rsid w:val="00DD4335"/>
    <w:rsid w:val="00DD7A9F"/>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5D77"/>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114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hdphoto" Target="media/hdphoto1.wdp"/><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308BF814464FAE9F792CB7BC71388F"/>
        <w:category>
          <w:name w:val="כללי"/>
          <w:gallery w:val="placeholder"/>
        </w:category>
        <w:types>
          <w:type w:val="bbPlcHdr"/>
        </w:types>
        <w:behaviors>
          <w:behavior w:val="content"/>
        </w:behaviors>
        <w:guid w:val="{D9AB4AA4-8445-43AB-92C0-0B097D634B41}"/>
      </w:docPartPr>
      <w:docPartBody>
        <w:p w:rsidR="009133C7" w:rsidRDefault="00AA7CE3">
          <w:r w:rsidRPr="00D47A1C">
            <w:rPr>
              <w:rStyle w:val="a3"/>
              <w:rtl/>
            </w:rPr>
            <w:t>לחץ כאן להזנת טקסט</w:t>
          </w:r>
          <w:r w:rsidRPr="00D47A1C">
            <w:rPr>
              <w:rStyle w:val="a3"/>
            </w:rPr>
            <w:t>.</w:t>
          </w:r>
        </w:p>
      </w:docPartBody>
    </w:docPart>
    <w:docPart>
      <w:docPartPr>
        <w:name w:val="A0D62ED226BE438E9738DA16960D135A"/>
        <w:category>
          <w:name w:val="כללי"/>
          <w:gallery w:val="placeholder"/>
        </w:category>
        <w:types>
          <w:type w:val="bbPlcHdr"/>
        </w:types>
        <w:behaviors>
          <w:behavior w:val="content"/>
        </w:behaviors>
        <w:guid w:val="{0019D1A4-D623-42DE-9B13-9CC773ECC4CB}"/>
      </w:docPartPr>
      <w:docPartBody>
        <w:p w:rsidR="00345C9D" w:rsidRDefault="006377AB" w:rsidP="006377AB">
          <w:pPr>
            <w:pStyle w:val="E460D38E05664FF79D4EFF282EF8EC9927"/>
          </w:pPr>
          <w:r>
            <w:rPr>
              <w:rFonts w:hint="cs"/>
              <w:rtl/>
            </w:rPr>
            <w:t xml:space="preserve">     </w:t>
          </w:r>
        </w:p>
      </w:docPartBody>
    </w:docPart>
    <w:docPart>
      <w:docPartPr>
        <w:name w:val="7879426DD5DF437F924939A9324F0250"/>
        <w:category>
          <w:name w:val="כללי"/>
          <w:gallery w:val="placeholder"/>
        </w:category>
        <w:types>
          <w:type w:val="bbPlcHdr"/>
        </w:types>
        <w:behaviors>
          <w:behavior w:val="content"/>
        </w:behaviors>
        <w:guid w:val="{6FE3C298-9CAA-487D-AF48-470124DF4A7E}"/>
      </w:docPartPr>
      <w:docPartBody>
        <w:p w:rsidR="007E254A" w:rsidRDefault="006377AB" w:rsidP="006377AB">
          <w:pPr>
            <w:pStyle w:val="E6E6A917CC5E4519A8F2E864C48E22F215"/>
          </w:pPr>
          <w:r w:rsidRPr="00CD608F">
            <w:rPr>
              <w:rFonts w:hint="eastAsia"/>
              <w:b/>
              <w:bCs/>
              <w:sz w:val="26"/>
              <w:szCs w:val="26"/>
              <w:rtl/>
            </w:rPr>
            <w:t>בעניין</w:t>
          </w:r>
          <w:r w:rsidRPr="00CD608F">
            <w:rPr>
              <w:b/>
              <w:bCs/>
              <w:sz w:val="26"/>
              <w:szCs w:val="26"/>
              <w:rtl/>
            </w:rPr>
            <w:t xml:space="preserve"> שם פרטי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89619F" w:rsidRDefault="008B25D3">
          <w:pPr>
            <w:pStyle w:val="8F205D277DB74798A5D8E842286CD249"/>
          </w:pPr>
          <w:r>
            <w:rPr>
              <w:b/>
              <w:bCs/>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1F7DDF"/>
    <w:rsid w:val="002D02C4"/>
    <w:rsid w:val="00345C9D"/>
    <w:rsid w:val="0048651F"/>
    <w:rsid w:val="005157ED"/>
    <w:rsid w:val="005171E8"/>
    <w:rsid w:val="00556D67"/>
    <w:rsid w:val="006377AB"/>
    <w:rsid w:val="00793995"/>
    <w:rsid w:val="007C6F98"/>
    <w:rsid w:val="007E254A"/>
    <w:rsid w:val="00817811"/>
    <w:rsid w:val="0089619F"/>
    <w:rsid w:val="008B25D3"/>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4308BF814464FAE9F792CB7BC71388F">
    <w:name w:val="74308BF814464FAE9F792CB7BC71388F"/>
    <w:pPr>
      <w:bidi/>
    </w:pPr>
  </w:style>
  <w:style w:type="paragraph" w:customStyle="1" w:styleId="A0D62ED226BE438E9738DA16960D135A">
    <w:name w:val="A0D62ED226BE438E9738DA16960D135A"/>
    <w:pPr>
      <w:bidi/>
    </w:pPr>
  </w:style>
  <w:style w:type="paragraph" w:customStyle="1" w:styleId="0FD9F38931A04EA892C2FA4AD07EAD30">
    <w:name w:val="0FD9F38931A04EA892C2FA4AD07EAD30"/>
    <w:pPr>
      <w:bidi/>
    </w:pPr>
  </w:style>
  <w:style w:type="paragraph" w:customStyle="1" w:styleId="8F205D277DB74798A5D8E842286CD249">
    <w:name w:val="8F205D277DB74798A5D8E842286CD249"/>
    <w:pPr>
      <w:bidi/>
    </w:pPr>
  </w:style>
  <w:style w:type="paragraph" w:customStyle="1" w:styleId="7879426DD5DF437F924939A9324F0250">
    <w:name w:val="7879426DD5DF437F924939A9324F0250"/>
    <w:pPr>
      <w:bidi/>
    </w:pPr>
  </w:style>
  <w:style w:type="paragraph" w:customStyle="1" w:styleId="DF1FCDFA1F3E4D9BB0FA68734566FB3C">
    <w:name w:val="DF1FCDFA1F3E4D9BB0FA68734566FB3C"/>
    <w:pPr>
      <w:bidi/>
    </w:pPr>
  </w:style>
  <w:style w:type="paragraph" w:customStyle="1" w:styleId="7BF9ECA7CFCE4C4B9B2884DBF5888A9E">
    <w:name w:val="7BF9ECA7CFCE4C4B9B2884DBF5888A9E"/>
    <w:pPr>
      <w:bidi/>
    </w:pPr>
  </w:style>
  <w:style w:type="paragraph" w:customStyle="1" w:styleId="5C101A3E745D4D8EA80C691AB5403691">
    <w:name w:val="5C101A3E745D4D8EA80C691AB5403691"/>
    <w:pPr>
      <w:bidi/>
    </w:pPr>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זכי כמאל</FullName>
        <FirstName>זכי</FirstName>
        <LastName>כמאל</LastName>
        <PartyPropertyName/>
        <AuthenticationTypeAndNumber>מ.ר. 6411</AuthenticationTypeAndNumber>
        <RepresentatedOrRepresentativesNames>עלי מועדי</RepresentatedOrRepresentativesNames>
        <RepresentatedOrRepresentativesCount>1</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268135589</CasePartyID>
        <PartyTypeID>2</PartyTypeID>
        <ActivityStatusID>1</ActivityStatusID>
        <PartyAliasID>23</PartyAliasID>
        <PartyAliasName>בא כוח משיבים</PartyAliasName>
        <LegalEntityID>382068</LegalEntityID>
        <CaseLegalEntityID>128283948</CaseLegalEntityID>
        <AuthenticationTypeID>4</AuthenticationTypeID>
        <AuthenticationTypeName>מ.ר.</AuthenticationTypeName>
        <LegalEntityNumber>6411</LegalEntityNumber>
        <IsMainPartyType>true</IsMainPartyType>
        <CaseDisplayIdentifier>48431-03-24</CaseDisplayIdentifier>
        <CaseTypeID>63</CaseTypeID>
        <CaseTypeName>ערעור משפחה (עמ"ש)</CaseTypeName>
        <CaseName>מועדי ואח' נ' מועדי</CaseName>
        <FullAddress>הנביאים 4 חיפה </FullAddress>
        <EmailAddress>office@zakikamal.com</EmailAddress>
        <MotionID>0</MotionID>
        <CasePleaID>0</CasePleaID>
        <LinkedCaseID>0</LinkedCaseID>
        <PartyID>2</PartyID>
        <CasePartyCategoryID>2</CasePartyCategoryID>
        <LegalEntityAddressID>422015</LegalEntityAddressID>
        <LegalEntityEmailAddressID>67953323</LegalEntityEmailAddressID>
        <PleaTypeID>6</PleaTypeID>
        <LawyerOfficeName>משרד עו"ד זכי כמאל</LawyerOfficeName>
        <LawyerOfficeID>419677</LawyerOfficeID>
        <GroupPartyAlias/>
        <IsConverted>false</IsConverted>
        <LegalEntityNameID>3052</LegalEntityNameID>
        <RepresentatedNamesOfAssistant/>
        <LegalEntityTypeID>4</LegalEntityTypeID>
        <IsVerdictExists>false</IsVerdictExists>
        <IsAsirAzir>false</IsAsirAzir>
        <MainAndSecSpec/>
        <IsPublicationProhibited>false</IsPublicationProhibited>
        <PublicationProhibitedFullName>זכי כמאל</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ראמי מועדי</FullName>
        <FirstName>ראמי</FirstName>
        <LastName>מועדי</LastName>
        <PartyPropertyName/>
        <AuthenticationTypeAndNumber>ת"ז 040166068</AuthenticationTypeAndNumber>
        <RepresentatedOrRepresentativesNames>ספא חמוד</RepresentatedOrRepresentativesNames>
        <RepresentatedOrRepresentativesCount>1</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267978395</CasePartyID>
        <PartyTypeID>1</PartyTypeID>
        <ActivityStatusID>1</ActivityStatusID>
        <PartyAliasID>5</PartyAliasID>
        <PartyAliasName>מערער</PartyAliasName>
        <OrdinalNumber>1</OrdinalNumber>
        <LegalEntityID>3750156</LegalEntityID>
        <CaseLegalEntityID>128236346</CaseLegalEntityID>
        <AuthenticationTypeID>1</AuthenticationTypeID>
        <AuthenticationTypeName>ת"ז</AuthenticationTypeName>
        <LegalEntityNumber>040166068</LegalEntityNumber>
        <IsMainPartyType>true</IsMainPartyType>
        <CaseDisplayIdentifier>48431-03-24</CaseDisplayIdentifier>
        <CaseTypeID>63</CaseTypeID>
        <CaseTypeName>ערעור משפחה (עמ"ש)</CaseTypeName>
        <CaseName>מועדי ואח' נ' מועדי</CaseName>
        <FullAddress>ירכא </FullAddress>
        <MotionID>0</MotionID>
        <CasePleaID>0</CasePleaID>
        <FatherName>עלי</FatherName>
        <LinkedCaseID>0</LinkedCaseID>
        <PartyID>1</PartyID>
        <CasePartyCategoryID>2</CasePartyCategoryID>
        <LegalEntityAddressID>89105605</LegalEntityAddressID>
        <PleaTypeID>6</PleaTypeID>
        <GroupPartyAlias>מערערים</GroupPartyAlias>
        <IsConverted>false</IsConverted>
        <LegalEntityRegisteredNameID>6981868</LegalEntityRegisteredNameID>
        <LegalEntityNameID>96327000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ראמי מועדי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ספא חמוד</FullName>
        <FirstName>ספא</FirstName>
        <LastName>חמוד</LastName>
        <PartyPropertyName/>
        <AuthenticationTypeAndNumber>מ.ר. 62643</AuthenticationTypeAndNumber>
        <RepresentatedOrRepresentativesNames>סאברין מועדי, ראמי מועדי</RepresentatedOrRepresentativesNames>
        <RepresentatedOrRepresentativesCount>2</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267978398</CasePartyID>
        <PartyTypeID>2</PartyTypeID>
        <ActivityStatusID>1</ActivityStatusID>
        <PartyAliasID>24</PartyAliasID>
        <PartyAliasName>בא כוח מערערים</PartyAliasName>
        <OrdinalNumber>1</OrdinalNumber>
        <LegalEntityID>72353677</LegalEntityID>
        <CaseLegalEntityID>128236349</CaseLegalEntityID>
        <AuthenticationTypeID>4</AuthenticationTypeID>
        <AuthenticationTypeName>מ.ר.</AuthenticationTypeName>
        <LegalEntityNumber>62643</LegalEntityNumber>
        <IsMainPartyType>true</IsMainPartyType>
        <CaseDisplayIdentifier>48431-03-24</CaseDisplayIdentifier>
        <CaseTypeID>63</CaseTypeID>
        <CaseTypeName>ערעור משפחה (עמ"ש)</CaseTypeName>
        <CaseName>מועדי ואח' נ' מועדי</CaseName>
        <FullAddress>בניין באה סנטר ירכא </FullAddress>
        <EmailAddress>safa.law@hotmail.com</EmailAddress>
        <MotionID>0</MotionID>
        <CasePleaID>0</CasePleaID>
        <LinkedCaseID>0</LinkedCaseID>
        <PartyID>1</PartyID>
        <CasePartyCategoryID>2</CasePartyCategoryID>
        <LegalEntityAddressID>84162712</LegalEntityAddressID>
        <LegalEntityEmailAddressID>67935671</LegalEntityEmailAddressID>
        <PleaTypeID>6</PleaTypeID>
        <LawyerOfficeName>משרד עו"ד ספא חמוד</LawyerOfficeName>
        <LawyerOfficeID>72353678</LawyerOfficeID>
        <GroupPartyAlias/>
        <IsConverted>false</IsConverted>
        <LegalEntityNameID>76219650</LegalEntityNameID>
        <RepresentatedNamesOfAssistant/>
        <LegalEntityTypeID>4</LegalEntityTypeID>
        <IsVerdictExists>false</IsVerdictExists>
        <IsAsirAzir>false</IsAsirAzir>
        <MainAndSecSpec/>
        <IsPublicationProhibited>false</IsPublicationProhibited>
        <PublicationProhibitedFullName>ספא חמוד</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עלי מועדי</FullName>
        <FirstName>עלי</FirstName>
        <LastName>מועדי</LastName>
        <PartyPropertyName/>
        <AuthenticationTypeAndNumber>ת"ז 052438090</AuthenticationTypeAndNumber>
        <RepresentatedOrRepresentativesNames>זכי כמאל</RepresentatedOrRepresentativesNames>
        <RepresentatedOrRepresentativesCount>1</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267978397</CasePartyID>
        <PartyTypeID>1</PartyTypeID>
        <ActivityStatusID>1</ActivityStatusID>
        <PartyAliasID>4</PartyAliasID>
        <PartyAliasName>משיב</PartyAliasName>
        <OrdinalNumber>1</OrdinalNumber>
        <LegalEntityID>3757169</LegalEntityID>
        <CaseLegalEntityID>128236348</CaseLegalEntityID>
        <AuthenticationTypeID>1</AuthenticationTypeID>
        <AuthenticationTypeName>ת"ז</AuthenticationTypeName>
        <LegalEntityNumber>052438090</LegalEntityNumber>
        <IsMainPartyType>true</IsMainPartyType>
        <CaseDisplayIdentifier>48431-03-24</CaseDisplayIdentifier>
        <CaseTypeID>63</CaseTypeID>
        <CaseTypeName>ערעור משפחה (עמ"ש)</CaseTypeName>
        <CaseName>מועדי ואח' נ' מועדי</CaseName>
        <FullAddress>ירכא </FullAddress>
        <MotionID>0</MotionID>
        <CasePleaID>0</CasePleaID>
        <FatherName>חוסין</FatherName>
        <LinkedCaseID>0</LinkedCaseID>
        <PartyID>2</PartyID>
        <CasePartyCategoryID>2</CasePartyCategoryID>
        <LegalEntityAddressID>89105610</LegalEntityAddressID>
        <PleaTypeID>6</PleaTypeID>
        <GroupPartyAlias>משיבים</GroupPartyAlias>
        <IsConverted>false</IsConverted>
        <LegalEntityRegisteredNameID>2571754</LegalEntityRegisteredNameID>
        <LegalEntityNameID>96327005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 מועדי</PublicationProhibitedFullName>
      </CaseParties>
      <CaseParties>
        <PartyTypeName>צד</PartyTypeName>
        <ProceedingType>כתב טענות עיקרי</ProceedingType>
        <PleaName>הודעת ערעור</PleaName>
        <PartyBelonging>צד א'</PartyBelonging>
        <RoleName>מערער 2 - תובע</RoleName>
        <IsSubProceeding>FALSE</IsSubProceeding>
        <FullName>סאברין מועדי</FullName>
        <FirstName>סאברין</FirstName>
        <LastName>מועדי</LastName>
        <PartyPropertyName/>
        <AuthenticationTypeAndNumber>ת"ז 065935736</AuthenticationTypeAndNumber>
        <RepresentatedOrRepresentativesNames>ספא חמוד</RepresentatedOrRepresentativesNames>
        <RepresentatedOrRepresentativesCount>1</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267978396</CasePartyID>
        <PartyTypeID>1</PartyTypeID>
        <ActivityStatusID>1</ActivityStatusID>
        <PartyAliasID>5</PartyAliasID>
        <PartyAliasName>מערער</PartyAliasName>
        <OrdinalNumber>2</OrdinalNumber>
        <LegalEntityID>70432804</LegalEntityID>
        <CaseLegalEntityID>128236347</CaseLegalEntityID>
        <AuthenticationTypeID>1</AuthenticationTypeID>
        <AuthenticationTypeName>ת"ז</AuthenticationTypeName>
        <LegalEntityNumber>065935736</LegalEntityNumber>
        <IsMainPartyType>true</IsMainPartyType>
        <CaseDisplayIdentifier>48431-03-24</CaseDisplayIdentifier>
        <CaseTypeID>63</CaseTypeID>
        <CaseTypeName>ערעור משפחה (עמ"ש)</CaseTypeName>
        <CaseName>מועדי ואח' נ' מועדי</CaseName>
        <FullAddress>ירכא </FullAddress>
        <MotionID>0</MotionID>
        <CasePleaID>0</CasePleaID>
        <FatherName>אסעד</FatherName>
        <LinkedCaseID>0</LinkedCaseID>
        <PartyID>1</PartyID>
        <CasePartyCategoryID>2</CasePartyCategoryID>
        <LegalEntityAddressID>89105607</LegalEntityAddressID>
        <PleaTypeID>6</PleaTypeID>
        <GroupPartyAlias>מערערים</GroupPartyAlias>
        <IsConverted>false</IsConverted>
        <LegalEntityRegisteredNameID>9952079</LegalEntityRegisteredNameID>
        <LegalEntityNameID>96327002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סאברין מועדי</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2024-09-23T09:35:35.6130865+03:00</DecisionSignatureDate>
    <OpenCaseDate>2024-03-20T13:55:00+02:00</OpenCaseDate>
    <CaseFeeSum>0.000</CaseFeeSum>
    <DecisionTypeID>2</DecisionTypeID>
    <DecisionSignatureUserName>חננאל שרעבי</DecisionSignatureUserName>
    <DecisionSignatureDateHebrew>2024-09-23T09:35:35.6130865+03:00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מועדי ואח' נ' מועדי</CaseName>
    <DecisionNumberInCase>11</DecisionNumberInCase>
  </dt_Decision>
  <dt_DecisionCase>
    <DecisionID>0</DecisionID>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זכי כמאל</FullName>
        <FirstName>זכי</FirstName>
        <LastName>כמאל</LastName>
        <PartyPropertyName/>
        <AuthenticationTypeAndNumber>מ.ר. 6411</AuthenticationTypeAndNumber>
        <RepresentatedOrRepresentativesNames>עלי מועדי</RepresentatedOrRepresentativesNames>
        <RepresentatedOrRepresentativesCount>1</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268135589</CasePartyID>
        <PartyTypeID>2</PartyTypeID>
        <ActivityStatusID>1</ActivityStatusID>
        <PartyAliasID>23</PartyAliasID>
        <PartyAliasName>בא כוח משיבים</PartyAliasName>
        <LegalEntityID>382068</LegalEntityID>
        <CaseLegalEntityID>128283948</CaseLegalEntityID>
        <AuthenticationTypeID>4</AuthenticationTypeID>
        <AuthenticationTypeName>מ.ר.</AuthenticationTypeName>
        <LegalEntityNumber>6411</LegalEntityNumber>
        <IsMainPartyType>true</IsMainPartyType>
        <CaseDisplayIdentifier>48431-03-24</CaseDisplayIdentifier>
        <CaseTypeID>63</CaseTypeID>
        <CaseTypeName>ערעור משפחה (עמ"ש)</CaseTypeName>
        <CaseName>מועדי ואח' נ' מועדי</CaseName>
        <FullAddress>הנביאים 4 חיפה </FullAddress>
        <EmailAddress>office@zakikamal.com</EmailAddress>
        <MotionID>0</MotionID>
        <CasePleaID>0</CasePleaID>
        <LinkedCaseID>0</LinkedCaseID>
        <PartyID>2</PartyID>
        <CasePartyCategoryID>2</CasePartyCategoryID>
        <LegalEntityAddressID>422015</LegalEntityAddressID>
        <LegalEntityEmailAddressID>67953323</LegalEntityEmailAddressID>
        <PleaTypeID>6</PleaTypeID>
        <LawyerOfficeName>משרד עו"ד זכי כמאל</LawyerOfficeName>
        <LawyerOfficeID>419677</LawyerOfficeID>
        <GroupPartyAlias/>
        <IsConverted>false</IsConverted>
        <LegalEntityNameID>3052</LegalEntityNameID>
        <RepresentatedNamesOfAssistant/>
        <LegalEntityTypeID>4</LegalEntityTypeID>
        <IsVerdictExists>false</IsVerdictExists>
        <IsAsirAzir>false</IsAsirAzir>
        <MainAndSecSpec/>
        <IsPublicationProhibited>false</IsPublicationProhibited>
        <PublicationProhibitedFullName>זכי כמאל</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ראמי מועדי</FullName>
        <FirstName>ראמי</FirstName>
        <LastName>מועדי</LastName>
        <PartyPropertyName/>
        <AuthenticationTypeAndNumber>ת"ז 040166068</AuthenticationTypeAndNumber>
        <RepresentatedOrRepresentativesNames>ספא חמוד</RepresentatedOrRepresentativesNames>
        <RepresentatedOrRepresentativesCount>1</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267978395</CasePartyID>
        <PartyTypeID>1</PartyTypeID>
        <ActivityStatusID>1</ActivityStatusID>
        <PartyAliasID>5</PartyAliasID>
        <PartyAliasName>מערער</PartyAliasName>
        <OrdinalNumber>1</OrdinalNumber>
        <LegalEntityID>3750156</LegalEntityID>
        <CaseLegalEntityID>128236346</CaseLegalEntityID>
        <AuthenticationTypeID>1</AuthenticationTypeID>
        <AuthenticationTypeName>ת"ז</AuthenticationTypeName>
        <LegalEntityNumber>040166068</LegalEntityNumber>
        <IsMainPartyType>true</IsMainPartyType>
        <CaseDisplayIdentifier>48431-03-24</CaseDisplayIdentifier>
        <CaseTypeID>63</CaseTypeID>
        <CaseTypeName>ערעור משפחה (עמ"ש)</CaseTypeName>
        <CaseName>מועדי ואח' נ' מועדי</CaseName>
        <FullAddress>ירכא </FullAddress>
        <MotionID>0</MotionID>
        <CasePleaID>0</CasePleaID>
        <FatherName>עלי</FatherName>
        <LinkedCaseID>0</LinkedCaseID>
        <PartyID>1</PartyID>
        <CasePartyCategoryID>2</CasePartyCategoryID>
        <LegalEntityAddressID>89105605</LegalEntityAddressID>
        <PleaTypeID>6</PleaTypeID>
        <GroupPartyAlias>מערערים</GroupPartyAlias>
        <IsConverted>false</IsConverted>
        <LegalEntityRegisteredNameID>6981868</LegalEntityRegisteredNameID>
        <LegalEntityNameID>96327000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ראמי מועדי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ספא חמוד</FullName>
        <FirstName>ספא</FirstName>
        <LastName>חמוד</LastName>
        <PartyPropertyName/>
        <AuthenticationTypeAndNumber>מ.ר. 62643</AuthenticationTypeAndNumber>
        <RepresentatedOrRepresentativesNames>סאברין מועדי, ראמי מועדי</RepresentatedOrRepresentativesNames>
        <RepresentatedOrRepresentativesCount>2</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267978398</CasePartyID>
        <PartyTypeID>2</PartyTypeID>
        <ActivityStatusID>1</ActivityStatusID>
        <PartyAliasID>24</PartyAliasID>
        <PartyAliasName>בא כוח מערערים</PartyAliasName>
        <OrdinalNumber>1</OrdinalNumber>
        <LegalEntityID>72353677</LegalEntityID>
        <CaseLegalEntityID>128236349</CaseLegalEntityID>
        <AuthenticationTypeID>4</AuthenticationTypeID>
        <AuthenticationTypeName>מ.ר.</AuthenticationTypeName>
        <LegalEntityNumber>62643</LegalEntityNumber>
        <IsMainPartyType>true</IsMainPartyType>
        <CaseDisplayIdentifier>48431-03-24</CaseDisplayIdentifier>
        <CaseTypeID>63</CaseTypeID>
        <CaseTypeName>ערעור משפחה (עמ"ש)</CaseTypeName>
        <CaseName>מועדי ואח' נ' מועדי</CaseName>
        <FullAddress>בניין באה סנטר ירכא </FullAddress>
        <EmailAddress>safa.law@hotmail.com</EmailAddress>
        <MotionID>0</MotionID>
        <CasePleaID>0</CasePleaID>
        <LinkedCaseID>0</LinkedCaseID>
        <PartyID>1</PartyID>
        <CasePartyCategoryID>2</CasePartyCategoryID>
        <LegalEntityAddressID>84162712</LegalEntityAddressID>
        <LegalEntityEmailAddressID>67935671</LegalEntityEmailAddressID>
        <PleaTypeID>6</PleaTypeID>
        <LawyerOfficeName>משרד עו"ד ספא חמוד</LawyerOfficeName>
        <LawyerOfficeID>72353678</LawyerOfficeID>
        <GroupPartyAlias/>
        <IsConverted>false</IsConverted>
        <LegalEntityNameID>76219650</LegalEntityNameID>
        <RepresentatedNamesOfAssistant/>
        <LegalEntityTypeID>4</LegalEntityTypeID>
        <IsVerdictExists>false</IsVerdictExists>
        <IsAsirAzir>false</IsAsirAzir>
        <MainAndSecSpec/>
        <IsPublicationProhibited>false</IsPublicationProhibited>
        <PublicationProhibitedFullName>ספא חמוד</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עלי מועדי</FullName>
        <FirstName>עלי</FirstName>
        <LastName>מועדי</LastName>
        <PartyPropertyName/>
        <AuthenticationTypeAndNumber>ת"ז 052438090</AuthenticationTypeAndNumber>
        <RepresentatedOrRepresentativesNames>זכי כמאל</RepresentatedOrRepresentativesNames>
        <RepresentatedOrRepresentativesCount>1</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267978397</CasePartyID>
        <PartyTypeID>1</PartyTypeID>
        <ActivityStatusID>1</ActivityStatusID>
        <PartyAliasID>4</PartyAliasID>
        <PartyAliasName>משיב</PartyAliasName>
        <OrdinalNumber>1</OrdinalNumber>
        <LegalEntityID>3757169</LegalEntityID>
        <CaseLegalEntityID>128236348</CaseLegalEntityID>
        <AuthenticationTypeID>1</AuthenticationTypeID>
        <AuthenticationTypeName>ת"ז</AuthenticationTypeName>
        <LegalEntityNumber>052438090</LegalEntityNumber>
        <IsMainPartyType>true</IsMainPartyType>
        <CaseDisplayIdentifier>48431-03-24</CaseDisplayIdentifier>
        <CaseTypeID>63</CaseTypeID>
        <CaseTypeName>ערעור משפחה (עמ"ש)</CaseTypeName>
        <CaseName>מועדי ואח' נ' מועדי</CaseName>
        <FullAddress>ירכא </FullAddress>
        <MotionID>0</MotionID>
        <CasePleaID>0</CasePleaID>
        <FatherName>חוסין</FatherName>
        <LinkedCaseID>0</LinkedCaseID>
        <PartyID>2</PartyID>
        <CasePartyCategoryID>2</CasePartyCategoryID>
        <LegalEntityAddressID>89105610</LegalEntityAddressID>
        <PleaTypeID>6</PleaTypeID>
        <GroupPartyAlias>משיבים</GroupPartyAlias>
        <IsConverted>false</IsConverted>
        <LegalEntityRegisteredNameID>2571754</LegalEntityRegisteredNameID>
        <LegalEntityNameID>96327005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 מועדי</PublicationProhibitedFullName>
      </CaseParties>
      <CaseParties>
        <PartyTypeName>צד</PartyTypeName>
        <ProceedingType>כתב טענות עיקרי</ProceedingType>
        <PleaName>הודעת ערעור</PleaName>
        <PartyBelonging>צד א'</PartyBelonging>
        <RoleName>מערער 2 - תובע</RoleName>
        <IsSubProceeding>FALSE</IsSubProceeding>
        <FullName>סאברין מועדי</FullName>
        <FirstName>סאברין</FirstName>
        <LastName>מועדי</LastName>
        <PartyPropertyName/>
        <AuthenticationTypeAndNumber>ת"ז 065935736</AuthenticationTypeAndNumber>
        <RepresentatedOrRepresentativesNames>ספא חמוד</RepresentatedOrRepresentativesNames>
        <RepresentatedOrRepresentativesCount>1</RepresentatedOrRepresentativesCount>
        <InvitedBy/>
        <CaseID>81090399</CaseID>
        <CaseJudicialPersonPresentationDS>
          <CaseJudicalPersonActive>
            <CaseID>81090399</CaseID>
            <JudicialPersonID>056479827@GOV.IL</JudicialPersonID>
            <JudicialPersonTypeID>1</JudicialPersonTypeID>
            <JudicialTypeID>3</JudicialTypeID>
            <IsChairman>true</IsChairman>
            <TreatmentStartDate>2024-03-21T09:39:03.763+02:00</TreatmentStartDate>
            <TreatmentFinishDate>9999-12-31T23:59:59.997+02:00</TreatmentFinishDate>
            <IdentificationCardNumber>056479827</IdentificationCardNumber>
            <DisplayName>חננאל שרעבי</DisplayName>
            <JudicialTypeName>הרכב שופטים</JudicialTypeName>
            <CaseJudicialGroupNumber>573651</CaseJudicialGroupNumber>
            <FirstName>חננאל</FirstName>
            <LastName>שרעבי</LastName>
            <JudicialPersonTitle>שופט</JudicialPersonTitle>
          </CaseJudicalPersonActive>
          <CaseJudicalPersonActive>
            <CaseID>81090399</CaseID>
            <JudicialPersonID>057955775@GOV.IL</JudicialPersonID>
            <JudicialPersonTypeID>1</JudicialPersonTypeID>
            <JudicialTypeID>3</JudicialTypeID>
            <IsChairman>false</IsChairman>
            <TreatmentStartDate>2024-03-21T09:39:03.763+02:00</TreatmentStartDate>
            <TreatmentFinishDate>9999-12-31T23:59:59.997+02:00</TreatmentFinishDate>
            <IdentificationCardNumber>057955775</IdentificationCardNumber>
            <DisplayName>אספרנצה אלון</DisplayName>
            <JudicialTypeName>הרכב שופטים</JudicialTypeName>
            <CaseJudicialGroupNumber>573651</CaseJudicialGroupNumber>
            <FirstName>אספרנצה</FirstName>
            <LastName>אלון</LastName>
            <JudicialPersonTitle>שופט</JudicialPersonTitle>
          </CaseJudicalPersonActive>
          <CaseJudicalPersonActive>
            <CaseID>81090399</CaseID>
            <JudicialPersonID>058677980@GOV.IL</JudicialPersonID>
            <JudicialPersonTypeID>1</JudicialPersonTypeID>
            <JudicialTypeID>3</JudicialTypeID>
            <IsChairman>false</IsChairman>
            <TreatmentStartDate>2024-03-21T09:39:03.763+02:00</TreatmentStartDate>
            <TreatmentFinishDate>9999-12-31T23:59:59.997+02:00</TreatmentFinishDate>
            <IdentificationCardNumber>058677980</IdentificationCardNumber>
            <DisplayName>אריה נאמן</DisplayName>
            <JudicialTypeName>הרכב שופטים</JudicialTypeName>
            <CaseJudicialGroupNumber>573651</CaseJudicialGroupNumber>
            <FirstName>אריה</FirstName>
            <LastName>נאמן</LastName>
            <JudicialPersonTitle>שופט</JudicialPersonTitle>
          </CaseJudicalPersonActive>
        </CaseJudicialPersonPresentationDS>
        <CasePartyID>267978396</CasePartyID>
        <PartyTypeID>1</PartyTypeID>
        <ActivityStatusID>1</ActivityStatusID>
        <PartyAliasID>5</PartyAliasID>
        <PartyAliasName>מערער</PartyAliasName>
        <OrdinalNumber>2</OrdinalNumber>
        <LegalEntityID>70432804</LegalEntityID>
        <CaseLegalEntityID>128236347</CaseLegalEntityID>
        <AuthenticationTypeID>1</AuthenticationTypeID>
        <AuthenticationTypeName>ת"ז</AuthenticationTypeName>
        <LegalEntityNumber>065935736</LegalEntityNumber>
        <IsMainPartyType>true</IsMainPartyType>
        <CaseDisplayIdentifier>48431-03-24</CaseDisplayIdentifier>
        <CaseTypeID>63</CaseTypeID>
        <CaseTypeName>ערעור משפחה (עמ"ש)</CaseTypeName>
        <CaseName>מועדי ואח' נ' מועדי</CaseName>
        <FullAddress>ירכא </FullAddress>
        <MotionID>0</MotionID>
        <CasePleaID>0</CasePleaID>
        <FatherName>אסעד</FatherName>
        <LinkedCaseID>0</LinkedCaseID>
        <PartyID>1</PartyID>
        <CasePartyCategoryID>2</CasePartyCategoryID>
        <LegalEntityAddressID>89105607</LegalEntityAddressID>
        <PleaTypeID>6</PleaTypeID>
        <GroupPartyAlias>מערערים</GroupPartyAlias>
        <IsConverted>false</IsConverted>
        <LegalEntityRegisteredNameID>9952079</LegalEntityRegisteredNameID>
        <LegalEntityNameID>96327002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סאברין מועדי</PublicationProhibitedFullName>
      </CaseParties>
    </CasePartiesSelectionDS>
    <CaseName>מועדי ואח' נ' מועדי</CaseName>
    <CaseDisplayIdentifier>48431-03-24</CaseDisplayIdentifier>
    <CaseInterestID>67</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Fax>04-8627975</Fax>
    <PartyID>2</PartyID>
    <PartyTypeID>2</PartyTypeID>
    <DecisionID>0</DecisionID>
    <StreetName>הנביאים 4</StreetName>
    <ZipCode>33501</ZipCode>
    <CityName>חיפה</CityName>
    <FullName>זכי כמאל</FullName>
    <Email>office@zakikamal.com</Email>
    <IsPublicationProhibited>false</IsPublicationProhibited>
  </dt_LegalEntityDetails>
  <dt_LegalEntityDetails>
    <PartyID>1</PartyID>
    <PartyTypeID>1</PartyTypeID>
    <DecisionID>0</DecisionID>
    <ZipCode>496700</ZipCode>
    <CityName>ירכא</CityName>
    <FullName>ראמי  מועדי</FullName>
    <IsPublicationProhibited>false</IsPublicationProhibited>
  </dt_LegalEntityDetails>
  <dt_LegalEntityDetails>
    <PartyID>2</PartyID>
    <PartyTypeID>1</PartyTypeID>
    <DecisionID>0</DecisionID>
    <ZipCode>2496700</ZipCode>
    <CityName>ירכא</CityName>
    <FullName>עלי  מועדי</FullName>
    <IsPublicationProhibited>false</IsPublicationProhibited>
  </dt_LegalEntityDetails>
  <dt_LegalEntityDetails>
    <Fax>04-6209026</Fax>
    <Phone>04-6216643</Phone>
    <AddressDesc/>
    <PartyID>1</PartyID>
    <PartyTypeID>2</PartyTypeID>
    <DecisionID>0</DecisionID>
    <StreetName>בניין באה סנטר</StreetName>
    <ZipCode>2496700</ZipCode>
    <CityName>ירכא</CityName>
    <FullName>ספא חמוד</FullName>
    <Email>safa.law@hotmail.com</Email>
    <IsPublicationProhibited>false</IsPublicationProhibited>
  </dt_LegalEntityDetails>
  <dt_LegalEntityDetails>
    <PartyID>1</PartyID>
    <PartyTypeID>1</PartyTypeID>
    <DecisionID>0</DecisionID>
    <ZipCode>2496700</ZipCode>
    <CityName>ירכא</CityName>
    <FullName>סאברין מועדי</FullName>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2024-09-16T10:00:00+03:00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D7CE4-6D8C-47BF-A3E4-08FF56761CFC}">
  <ds:schemaRefs/>
</ds:datastoreItem>
</file>

<file path=customXml/itemProps2.xml><?xml version="1.0" encoding="utf-8"?>
<ds:datastoreItem xmlns:ds="http://schemas.openxmlformats.org/officeDocument/2006/customXml" ds:itemID="{45F1C6B1-78AB-4145-91FE-D5987CF72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2500</Words>
  <Characters>12504</Characters>
  <Application>Microsoft Office Word</Application>
  <DocSecurity>4</DocSecurity>
  <Lines>104</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2024-10-06T09:01:00Z</dcterms:created>
  <dcterms:modified xsi:type="dcterms:W3CDTF">2024-10-06T09:01:00Z</dcterms:modified>
</cp:coreProperties>
</file>